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89" w:rsidRPr="00253038" w:rsidRDefault="00C20C89" w:rsidP="00C20C89">
      <w:pPr>
        <w:spacing w:line="240" w:lineRule="atLeast"/>
        <w:ind w:right="4"/>
        <w:jc w:val="right"/>
        <w:rPr>
          <w:b/>
          <w:sz w:val="26"/>
          <w:szCs w:val="26"/>
        </w:rPr>
      </w:pPr>
      <w:hyperlink w:anchor="_РАЗДЕЛ_IV._Техническое" w:history="1">
        <w:r w:rsidRPr="00253038">
          <w:rPr>
            <w:rStyle w:val="aa"/>
            <w:b/>
            <w:iCs/>
          </w:rPr>
          <w:t>Раздел IV «Техническое задание»</w:t>
        </w:r>
      </w:hyperlink>
      <w:r w:rsidRPr="00253038">
        <w:rPr>
          <w:b/>
          <w:iCs/>
        </w:rPr>
        <w:t xml:space="preserve"> Документации о закупке</w:t>
      </w:r>
    </w:p>
    <w:p w:rsidR="00C20C89" w:rsidRDefault="00C20C89" w:rsidP="00C20C89">
      <w:pPr>
        <w:spacing w:line="240" w:lineRule="atLeast"/>
        <w:ind w:right="4"/>
        <w:rPr>
          <w:sz w:val="26"/>
          <w:szCs w:val="26"/>
        </w:rPr>
      </w:pPr>
    </w:p>
    <w:p w:rsidR="00C20C89" w:rsidRPr="000735B3" w:rsidRDefault="00C20C89" w:rsidP="00C20C89">
      <w:pPr>
        <w:keepNext/>
        <w:numPr>
          <w:ilvl w:val="1"/>
          <w:numId w:val="1"/>
        </w:numPr>
        <w:tabs>
          <w:tab w:val="left" w:pos="0"/>
        </w:tabs>
        <w:suppressAutoHyphens/>
        <w:jc w:val="center"/>
        <w:outlineLvl w:val="1"/>
        <w:rPr>
          <w:b/>
          <w:bCs/>
          <w:iCs/>
        </w:rPr>
      </w:pPr>
      <w:r w:rsidRPr="000735B3">
        <w:rPr>
          <w:b/>
          <w:bCs/>
          <w:iCs/>
        </w:rPr>
        <w:t>ТЕХНИЧЕСКОЕ ЗАДАНИЕ (ТЗ)</w:t>
      </w:r>
    </w:p>
    <w:p w:rsidR="00C20C89" w:rsidRPr="000735B3" w:rsidRDefault="00C20C89" w:rsidP="00C20C89">
      <w:pPr>
        <w:keepNext/>
        <w:numPr>
          <w:ilvl w:val="1"/>
          <w:numId w:val="1"/>
        </w:numPr>
        <w:suppressAutoHyphens/>
        <w:jc w:val="center"/>
        <w:outlineLvl w:val="1"/>
        <w:rPr>
          <w:bCs/>
          <w:i/>
          <w:iCs/>
        </w:rPr>
      </w:pPr>
      <w:r w:rsidRPr="000735B3">
        <w:rPr>
          <w:bCs/>
          <w:i/>
          <w:iCs/>
        </w:rPr>
        <w:t xml:space="preserve">на выполнение подрядных работ: </w:t>
      </w:r>
    </w:p>
    <w:p w:rsidR="00C20C89" w:rsidRPr="00AA50D4" w:rsidRDefault="00C20C89" w:rsidP="00C20C89">
      <w:pPr>
        <w:pStyle w:val="a8"/>
        <w:numPr>
          <w:ilvl w:val="0"/>
          <w:numId w:val="1"/>
        </w:numPr>
        <w:jc w:val="center"/>
      </w:pPr>
      <w:r w:rsidRPr="00AA50D4">
        <w:t xml:space="preserve">«Организация FTTx доступа корпоративным и бизнес клиентам </w:t>
      </w:r>
    </w:p>
    <w:p w:rsidR="00C20C89" w:rsidRPr="00AA50D4" w:rsidRDefault="00C20C89" w:rsidP="00C20C89">
      <w:pPr>
        <w:pStyle w:val="a8"/>
        <w:numPr>
          <w:ilvl w:val="0"/>
          <w:numId w:val="1"/>
        </w:numPr>
        <w:jc w:val="center"/>
      </w:pPr>
      <w:r w:rsidRPr="00AA50D4">
        <w:t>в г. Уфа и Уфимском районе - последняя миля»</w:t>
      </w:r>
    </w:p>
    <w:p w:rsidR="00C20C89" w:rsidRPr="000735B3" w:rsidRDefault="00C20C89" w:rsidP="00C20C89">
      <w:pPr>
        <w:shd w:val="clear" w:color="auto" w:fill="FFFFFF"/>
        <w:jc w:val="center"/>
        <w:rPr>
          <w:bCs/>
          <w:spacing w:val="-6"/>
        </w:rPr>
      </w:pPr>
      <w:r w:rsidRPr="000735B3">
        <w:rPr>
          <w:bCs/>
          <w:spacing w:val="-6"/>
        </w:rPr>
        <w:t xml:space="preserve">   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350"/>
        <w:gridCol w:w="6466"/>
      </w:tblGrid>
      <w:tr w:rsidR="00C20C89" w:rsidRPr="000735B3" w:rsidTr="003809FE">
        <w:tc>
          <w:tcPr>
            <w:tcW w:w="3060" w:type="dxa"/>
            <w:gridSpan w:val="2"/>
          </w:tcPr>
          <w:p w:rsidR="00C20C89" w:rsidRPr="000735B3" w:rsidRDefault="00C20C89" w:rsidP="00C20C89">
            <w:pPr>
              <w:numPr>
                <w:ilvl w:val="0"/>
                <w:numId w:val="3"/>
              </w:numPr>
              <w:ind w:left="318" w:hanging="318"/>
              <w:contextualSpacing/>
              <w:rPr>
                <w:b/>
              </w:rPr>
            </w:pPr>
            <w:r w:rsidRPr="000735B3">
              <w:rPr>
                <w:b/>
              </w:rPr>
              <w:t>Общие вопросы</w:t>
            </w:r>
          </w:p>
        </w:tc>
        <w:tc>
          <w:tcPr>
            <w:tcW w:w="6466" w:type="dxa"/>
          </w:tcPr>
          <w:p w:rsidR="00C20C89" w:rsidRPr="000735B3" w:rsidRDefault="00C20C89" w:rsidP="003809FE">
            <w:pPr>
              <w:rPr>
                <w:b/>
              </w:rPr>
            </w:pP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1.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 xml:space="preserve">Наименование титула  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t>«Организация FTTx доступа корпоративным и бизнес клиентам в г. Уфа - последняя миля»</w:t>
            </w:r>
          </w:p>
          <w:p w:rsidR="00C20C89" w:rsidRPr="00AA50D4" w:rsidRDefault="00C20C89" w:rsidP="003809FE"/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2.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Глоссарий</w:t>
            </w:r>
          </w:p>
        </w:tc>
        <w:tc>
          <w:tcPr>
            <w:tcW w:w="6466" w:type="dxa"/>
          </w:tcPr>
          <w:p w:rsidR="00C20C89" w:rsidRPr="00AA50D4" w:rsidDel="00810B10" w:rsidRDefault="00C20C89" w:rsidP="003809FE">
            <w:r w:rsidRPr="00AA50D4">
              <w:t>Список терминов и определений приведен в Приложении № 2 к ТЗ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3.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Цель строительства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rPr>
                <w:rFonts w:eastAsia="Bitstream Vera Sans" w:cs="FreeSans"/>
                <w:kern w:val="1"/>
                <w:lang w:eastAsia="zh-CN" w:bidi="hi-IN"/>
              </w:rPr>
              <w:t xml:space="preserve">Выполнение подключений клиентов — юридических лиц, корпоративных и бизнес-клиентов к услугам интернет, </w:t>
            </w:r>
            <w:r w:rsidRPr="00AA50D4">
              <w:rPr>
                <w:rFonts w:eastAsia="Bitstream Vera Sans" w:cs="FreeSans"/>
                <w:kern w:val="1"/>
                <w:lang w:val="en-US" w:eastAsia="zh-CN" w:bidi="hi-IN"/>
              </w:rPr>
              <w:t>IP</w:t>
            </w:r>
            <w:r w:rsidRPr="00AA50D4">
              <w:rPr>
                <w:rFonts w:eastAsia="Bitstream Vera Sans" w:cs="FreeSans"/>
                <w:kern w:val="1"/>
                <w:lang w:eastAsia="zh-CN" w:bidi="hi-IN"/>
              </w:rPr>
              <w:t>-</w:t>
            </w:r>
            <w:r w:rsidRPr="00AA50D4">
              <w:rPr>
                <w:rFonts w:eastAsia="Bitstream Vera Sans" w:cs="FreeSans"/>
                <w:kern w:val="1"/>
                <w:lang w:val="en-US" w:eastAsia="zh-CN" w:bidi="hi-IN"/>
              </w:rPr>
              <w:t>TV</w:t>
            </w:r>
            <w:r w:rsidRPr="00AA50D4">
              <w:rPr>
                <w:rFonts w:eastAsia="Bitstream Vera Sans" w:cs="FreeSans"/>
                <w:kern w:val="1"/>
                <w:lang w:eastAsia="zh-CN" w:bidi="hi-IN"/>
              </w:rPr>
              <w:t xml:space="preserve">, КТВ на сетях доступа </w:t>
            </w:r>
            <w:r w:rsidRPr="00AA50D4">
              <w:rPr>
                <w:rFonts w:eastAsia="Bitstream Vera Sans" w:cs="FreeSans"/>
                <w:kern w:val="1"/>
                <w:lang w:val="en-US" w:eastAsia="zh-CN" w:bidi="hi-IN"/>
              </w:rPr>
              <w:t>FTTB</w:t>
            </w:r>
            <w:r w:rsidRPr="00AA50D4">
              <w:rPr>
                <w:rFonts w:eastAsia="Bitstream Vera Sans" w:cs="FreeSans"/>
                <w:kern w:val="1"/>
                <w:lang w:eastAsia="zh-CN" w:bidi="hi-IN"/>
              </w:rPr>
              <w:t xml:space="preserve"> в многоквартирных жилых домах (МКД) и бизнес-центрах (БЦ) и т.д.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4.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Вид строительства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t>Новое строительство</w:t>
            </w:r>
            <w:r w:rsidRPr="00AA50D4">
              <w:rPr>
                <w:rFonts w:eastAsia="Bitstream Vera Sans" w:cs="FreeSans"/>
                <w:kern w:val="1"/>
                <w:lang w:eastAsia="zh-CN" w:bidi="hi-IN"/>
              </w:rPr>
              <w:t xml:space="preserve"> 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5.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Мощность объекта (строительства) ориентировочно</w:t>
            </w:r>
          </w:p>
        </w:tc>
        <w:tc>
          <w:tcPr>
            <w:tcW w:w="6466" w:type="dxa"/>
          </w:tcPr>
          <w:p w:rsidR="00C20C89" w:rsidRPr="00AA50D4" w:rsidRDefault="00C20C89" w:rsidP="003809FE">
            <w:pPr>
              <w:autoSpaceDE w:val="0"/>
              <w:autoSpaceDN w:val="0"/>
              <w:adjustRightInd w:val="0"/>
              <w:jc w:val="both"/>
              <w:rPr>
                <w:highlight w:val="yellow"/>
                <w:lang w:eastAsia="en-US"/>
              </w:rPr>
            </w:pPr>
            <w:r w:rsidRPr="00AA50D4">
              <w:rPr>
                <w:lang w:eastAsia="en-US"/>
              </w:rPr>
              <w:t>Проектируемые линии связи – Определяется по результатам выдаваемых Заказов/Заявок на основе проектных обследований с учетом технических решений Заказчика.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6.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Планируемый состав и объем строительно-монтажных работ ориентировочно</w:t>
            </w:r>
          </w:p>
        </w:tc>
        <w:tc>
          <w:tcPr>
            <w:tcW w:w="6466" w:type="dxa"/>
          </w:tcPr>
          <w:p w:rsidR="00C20C89" w:rsidRPr="00AA50D4" w:rsidRDefault="00C20C89" w:rsidP="003809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A50D4">
              <w:rPr>
                <w:lang w:eastAsia="en-US"/>
              </w:rPr>
              <w:t xml:space="preserve">Прокладка и подвес </w:t>
            </w:r>
            <w:r w:rsidRPr="00AA50D4">
              <w:rPr>
                <w:lang w:val="en-US" w:eastAsia="en-US"/>
              </w:rPr>
              <w:t>UTP</w:t>
            </w:r>
            <w:r w:rsidRPr="00AA50D4">
              <w:rPr>
                <w:lang w:eastAsia="en-US"/>
              </w:rPr>
              <w:t xml:space="preserve"> и пр., </w:t>
            </w:r>
            <w:r w:rsidRPr="00AA50D4">
              <w:rPr>
                <w:lang w:val="en-US" w:eastAsia="en-US"/>
              </w:rPr>
              <w:t>RG</w:t>
            </w:r>
            <w:r w:rsidRPr="00AA50D4">
              <w:rPr>
                <w:lang w:eastAsia="en-US"/>
              </w:rPr>
              <w:t xml:space="preserve">-6 – </w:t>
            </w:r>
            <w:r w:rsidRPr="00AA50D4">
              <w:rPr>
                <w:rFonts w:eastAsia="Bitstream Vera Sans" w:cs="FreeSans"/>
                <w:kern w:val="1"/>
                <w:lang w:eastAsia="zh-CN" w:bidi="hi-IN"/>
              </w:rPr>
              <w:t>по слаботочным каналам, по фасаду здания, трубостойкам ПАО «Башинформсвязь» или кабель-каналам (имеющимся или вновь установленным)</w:t>
            </w:r>
            <w:r w:rsidRPr="00AA50D4">
              <w:rPr>
                <w:lang w:eastAsia="en-US"/>
              </w:rPr>
              <w:t xml:space="preserve">; установка межэтажных трубостоек (слаботочных стояков); монтаж кабель-каналов; подключение абонентских устройств к эл. питанию; установка оконечного оборудования у Клиента; подвес кабеля, </w:t>
            </w:r>
            <w:r w:rsidRPr="005D7070">
              <w:rPr>
                <w:lang w:eastAsia="en-US"/>
              </w:rPr>
              <w:t>в т.ч. между</w:t>
            </w:r>
            <w:r w:rsidRPr="00AA50D4">
              <w:rPr>
                <w:lang w:eastAsia="en-US"/>
              </w:rPr>
              <w:t xml:space="preserve"> отдельно стоящими домами/зданиями и сооружениями; подключение Клиента к услуге по медной абонентской линии АЛ (</w:t>
            </w:r>
            <w:r w:rsidRPr="00AA50D4">
              <w:rPr>
                <w:lang w:val="en-US" w:eastAsia="en-US"/>
              </w:rPr>
              <w:t>UTP</w:t>
            </w:r>
            <w:r w:rsidRPr="00AA50D4">
              <w:rPr>
                <w:lang w:eastAsia="en-US"/>
              </w:rPr>
              <w:t>) и/или к услуге КТВ с ПНР в виде настройки оборудования Клиента (ТВ, ПК и т.д.), обжим разъемов, установка розеток.</w:t>
            </w:r>
          </w:p>
          <w:p w:rsidR="00C20C89" w:rsidRPr="00AA50D4" w:rsidRDefault="00C20C89" w:rsidP="003809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C20C89" w:rsidRPr="000735B3" w:rsidTr="003809FE">
        <w:tc>
          <w:tcPr>
            <w:tcW w:w="710" w:type="dxa"/>
          </w:tcPr>
          <w:p w:rsidR="00C20C89" w:rsidRPr="005D7070" w:rsidRDefault="00C20C89" w:rsidP="003809FE">
            <w:pPr>
              <w:tabs>
                <w:tab w:val="num" w:pos="600"/>
              </w:tabs>
            </w:pPr>
            <w:r w:rsidRPr="005D7070">
              <w:t>7.</w:t>
            </w:r>
          </w:p>
        </w:tc>
        <w:tc>
          <w:tcPr>
            <w:tcW w:w="2350" w:type="dxa"/>
          </w:tcPr>
          <w:p w:rsidR="00C20C89" w:rsidRPr="009F3FB2" w:rsidRDefault="00C20C89" w:rsidP="003809FE">
            <w:r w:rsidRPr="009F3FB2">
              <w:t>Расчётная стоимость строительства</w:t>
            </w:r>
          </w:p>
        </w:tc>
        <w:tc>
          <w:tcPr>
            <w:tcW w:w="6466" w:type="dxa"/>
          </w:tcPr>
          <w:p w:rsidR="00C20C89" w:rsidRPr="009F3FB2" w:rsidRDefault="00C20C89" w:rsidP="00C20C89">
            <w:pPr>
              <w:numPr>
                <w:ilvl w:val="0"/>
                <w:numId w:val="5"/>
              </w:numPr>
              <w:contextualSpacing/>
              <w:jc w:val="both"/>
            </w:pPr>
            <w:r w:rsidRPr="009F3FB2">
              <w:t xml:space="preserve">Определяется величиной удельной стоимости строительства за соответствующие виды работ (см. документ «Величина удельной стоимости за единицу (вид) работ» – Разделы 4. Удельные расценки - Приложение № 3 к Договору). </w:t>
            </w:r>
          </w:p>
          <w:p w:rsidR="00C20C89" w:rsidRPr="009F3FB2" w:rsidRDefault="00C20C89" w:rsidP="00C20C89">
            <w:pPr>
              <w:numPr>
                <w:ilvl w:val="0"/>
                <w:numId w:val="5"/>
              </w:numPr>
              <w:contextualSpacing/>
              <w:jc w:val="both"/>
            </w:pPr>
            <w:r w:rsidRPr="009F3FB2">
              <w:t xml:space="preserve">Применение конкретных расценок согласовать с Заказчиком до составления сметного расчета. 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8.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Заказчик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t>ПАО «Башинформсвязь»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9.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Проектировщик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t>Подрядная организация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AA50D4" w:rsidRDefault="00C20C89" w:rsidP="003809FE">
            <w:pPr>
              <w:tabs>
                <w:tab w:val="num" w:pos="600"/>
              </w:tabs>
            </w:pPr>
            <w:r w:rsidRPr="00AA50D4">
              <w:t>10.</w:t>
            </w:r>
          </w:p>
        </w:tc>
        <w:tc>
          <w:tcPr>
            <w:tcW w:w="2350" w:type="dxa"/>
          </w:tcPr>
          <w:p w:rsidR="00C20C89" w:rsidRPr="00AA50D4" w:rsidRDefault="00C20C89" w:rsidP="003809FE">
            <w:r w:rsidRPr="00AA50D4">
              <w:t>Способ строительства</w:t>
            </w:r>
          </w:p>
        </w:tc>
        <w:tc>
          <w:tcPr>
            <w:tcW w:w="6466" w:type="dxa"/>
          </w:tcPr>
          <w:p w:rsidR="00C20C89" w:rsidRPr="00AA50D4" w:rsidRDefault="00C20C89" w:rsidP="003809FE">
            <w:r w:rsidRPr="00AA50D4">
              <w:t>Подрядный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5D7070" w:rsidRDefault="00C20C89" w:rsidP="003809FE">
            <w:r w:rsidRPr="005D7070">
              <w:t>11.</w:t>
            </w:r>
          </w:p>
          <w:p w:rsidR="00C20C89" w:rsidRPr="005D7070" w:rsidRDefault="00C20C89" w:rsidP="003809FE"/>
        </w:tc>
        <w:tc>
          <w:tcPr>
            <w:tcW w:w="2350" w:type="dxa"/>
          </w:tcPr>
          <w:p w:rsidR="00C20C89" w:rsidRPr="005D7070" w:rsidRDefault="00C20C89" w:rsidP="003809FE">
            <w:r w:rsidRPr="005D7070">
              <w:t>Адресный план строительства</w:t>
            </w:r>
          </w:p>
        </w:tc>
        <w:tc>
          <w:tcPr>
            <w:tcW w:w="6466" w:type="dxa"/>
          </w:tcPr>
          <w:p w:rsidR="00C20C89" w:rsidRPr="005D7070" w:rsidRDefault="00C20C89" w:rsidP="003809FE">
            <w:pPr>
              <w:jc w:val="both"/>
            </w:pPr>
            <w:r w:rsidRPr="005D7070">
              <w:t>Перечень объектов для строительства (адреса объектов) передаётся после заключения Договора в виде Заказов, выдаваемых в течении периода действия Договора (Приложение № 2 к Договору).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5D7070" w:rsidRDefault="00C20C89" w:rsidP="003809FE">
            <w:r w:rsidRPr="005D7070">
              <w:t>12.</w:t>
            </w:r>
          </w:p>
        </w:tc>
        <w:tc>
          <w:tcPr>
            <w:tcW w:w="2350" w:type="dxa"/>
          </w:tcPr>
          <w:p w:rsidR="00C20C89" w:rsidRPr="005D7070" w:rsidRDefault="00C20C89" w:rsidP="003809FE">
            <w:r w:rsidRPr="005D7070">
              <w:t>Сроки строительства</w:t>
            </w:r>
          </w:p>
        </w:tc>
        <w:tc>
          <w:tcPr>
            <w:tcW w:w="6466" w:type="dxa"/>
          </w:tcPr>
          <w:p w:rsidR="00C20C89" w:rsidRPr="005D7070" w:rsidRDefault="00C20C89" w:rsidP="003809FE">
            <w:pPr>
              <w:jc w:val="both"/>
            </w:pPr>
            <w:r w:rsidRPr="005D7070">
              <w:t xml:space="preserve">Сроки строительства объектов определяются и передаются подрядчику после заключения Договора в составе Заказов (Приложение № 2 к Договору). </w:t>
            </w:r>
          </w:p>
          <w:p w:rsidR="00C20C89" w:rsidRPr="005D7070" w:rsidRDefault="00C20C89" w:rsidP="003809FE">
            <w:pPr>
              <w:jc w:val="both"/>
            </w:pPr>
            <w:r w:rsidRPr="005D7070">
              <w:lastRenderedPageBreak/>
              <w:t xml:space="preserve">Окончательный срок строительства по Договору – 31 марта 2018 года </w:t>
            </w:r>
          </w:p>
        </w:tc>
      </w:tr>
      <w:tr w:rsidR="00C20C89" w:rsidRPr="000735B3" w:rsidTr="003809FE">
        <w:tc>
          <w:tcPr>
            <w:tcW w:w="3060" w:type="dxa"/>
            <w:gridSpan w:val="2"/>
          </w:tcPr>
          <w:p w:rsidR="00C20C89" w:rsidRPr="005D7070" w:rsidRDefault="00C20C89" w:rsidP="00C20C89">
            <w:pPr>
              <w:numPr>
                <w:ilvl w:val="0"/>
                <w:numId w:val="3"/>
              </w:numPr>
              <w:ind w:left="318" w:hanging="284"/>
              <w:contextualSpacing/>
              <w:rPr>
                <w:b/>
              </w:rPr>
            </w:pPr>
            <w:r w:rsidRPr="005D7070">
              <w:rPr>
                <w:b/>
              </w:rPr>
              <w:lastRenderedPageBreak/>
              <w:t>Состав сооружений связи. Требования по проектированию.</w:t>
            </w:r>
          </w:p>
        </w:tc>
        <w:tc>
          <w:tcPr>
            <w:tcW w:w="6466" w:type="dxa"/>
          </w:tcPr>
          <w:p w:rsidR="00C20C89" w:rsidRPr="00AA50D4" w:rsidRDefault="00C20C89" w:rsidP="003809FE">
            <w:pPr>
              <w:ind w:firstLine="181"/>
              <w:jc w:val="both"/>
              <w:rPr>
                <w:b/>
              </w:rPr>
            </w:pPr>
          </w:p>
        </w:tc>
      </w:tr>
      <w:tr w:rsidR="00C20C89" w:rsidRPr="000735B3" w:rsidTr="003809FE">
        <w:tc>
          <w:tcPr>
            <w:tcW w:w="710" w:type="dxa"/>
          </w:tcPr>
          <w:p w:rsidR="00C20C89" w:rsidRPr="005D7070" w:rsidRDefault="00C20C89" w:rsidP="003809FE">
            <w:r w:rsidRPr="005D7070">
              <w:t>2.1.</w:t>
            </w:r>
          </w:p>
        </w:tc>
        <w:tc>
          <w:tcPr>
            <w:tcW w:w="2350" w:type="dxa"/>
          </w:tcPr>
          <w:p w:rsidR="00C20C89" w:rsidRPr="005D7070" w:rsidRDefault="00C20C89" w:rsidP="003809FE">
            <w:r w:rsidRPr="005D7070">
              <w:t>Требования к рабочей документации перед началом работ</w:t>
            </w:r>
          </w:p>
        </w:tc>
        <w:tc>
          <w:tcPr>
            <w:tcW w:w="6466" w:type="dxa"/>
          </w:tcPr>
          <w:p w:rsidR="00C20C89" w:rsidRPr="00AA50D4" w:rsidRDefault="00C20C89" w:rsidP="00C20C89">
            <w:pPr>
              <w:numPr>
                <w:ilvl w:val="0"/>
                <w:numId w:val="4"/>
              </w:numPr>
              <w:ind w:left="376" w:hanging="376"/>
              <w:jc w:val="both"/>
            </w:pPr>
            <w:r w:rsidRPr="00AA50D4">
              <w:t>Прокладку кабеля и строительство линий связи осуществлять только после оформления и согласования первичной рабочей документации (рабочих чертежей и схем) с Заказчиком и сметы, рассчитанной с использованием согласованных величин удельной стоимости строительства за соответствующие виды работ.   Обязательный перечень документов для согласования перед началом СМР:</w:t>
            </w:r>
          </w:p>
          <w:p w:rsidR="00C20C89" w:rsidRPr="00AA50D4" w:rsidRDefault="00C20C89" w:rsidP="003809FE">
            <w:pPr>
              <w:ind w:left="376"/>
              <w:jc w:val="both"/>
            </w:pPr>
            <w:r w:rsidRPr="00AA50D4">
              <w:t xml:space="preserve">- схема прокладки </w:t>
            </w:r>
            <w:r w:rsidRPr="00AA50D4">
              <w:rPr>
                <w:lang w:val="en-US"/>
              </w:rPr>
              <w:t>UTP</w:t>
            </w:r>
            <w:r w:rsidRPr="00AA50D4">
              <w:t xml:space="preserve">, </w:t>
            </w:r>
            <w:r w:rsidRPr="00AA50D4">
              <w:rPr>
                <w:lang w:val="en-US"/>
              </w:rPr>
              <w:t>RG</w:t>
            </w:r>
            <w:r w:rsidRPr="00AA50D4">
              <w:t>-6 и пр.</w:t>
            </w:r>
          </w:p>
          <w:p w:rsidR="00C20C89" w:rsidRPr="00AA50D4" w:rsidRDefault="00C20C89" w:rsidP="003809FE">
            <w:pPr>
              <w:ind w:left="376"/>
              <w:jc w:val="both"/>
            </w:pPr>
            <w:r w:rsidRPr="00AA50D4">
              <w:t>- сметный расчет с использованием удельных расценок за единицу работ</w:t>
            </w:r>
          </w:p>
        </w:tc>
      </w:tr>
      <w:tr w:rsidR="00C20C89" w:rsidRPr="000735B3" w:rsidTr="003809FE">
        <w:tc>
          <w:tcPr>
            <w:tcW w:w="710" w:type="dxa"/>
          </w:tcPr>
          <w:p w:rsidR="00C20C89" w:rsidRPr="005D7070" w:rsidRDefault="00C20C89" w:rsidP="003809FE">
            <w:r w:rsidRPr="005D7070">
              <w:t>2.2.</w:t>
            </w:r>
          </w:p>
        </w:tc>
        <w:tc>
          <w:tcPr>
            <w:tcW w:w="2350" w:type="dxa"/>
          </w:tcPr>
          <w:p w:rsidR="00C20C89" w:rsidRPr="005D7070" w:rsidRDefault="00C20C89" w:rsidP="003809FE">
            <w:r w:rsidRPr="005D7070">
              <w:t>Основные требования к выполнению технического обследования и строительно-монтажным работам</w:t>
            </w:r>
          </w:p>
        </w:tc>
        <w:tc>
          <w:tcPr>
            <w:tcW w:w="6466" w:type="dxa"/>
          </w:tcPr>
          <w:p w:rsidR="00C20C89" w:rsidRPr="005D7070" w:rsidRDefault="00C20C89" w:rsidP="003809FE">
            <w:pPr>
              <w:widowControl w:val="0"/>
              <w:suppressAutoHyphens/>
              <w:ind w:left="360"/>
              <w:jc w:val="both"/>
            </w:pPr>
            <w:r w:rsidRPr="005D7070">
              <w:t xml:space="preserve">Сроки выполнения работ, объем выполнения работ, требования к работам, указываются в Заказе (образец Заказа - Приложение № 2 к Договору). </w:t>
            </w:r>
          </w:p>
          <w:p w:rsidR="00C20C89" w:rsidRPr="005D7070" w:rsidRDefault="00C20C89" w:rsidP="003809FE">
            <w:pPr>
              <w:widowControl w:val="0"/>
              <w:suppressAutoHyphens/>
              <w:ind w:left="360"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В рамках выполнения работ Подрядчик выполняет следующие виды работ:</w:t>
            </w:r>
          </w:p>
          <w:p w:rsidR="00C20C89" w:rsidRPr="005D7070" w:rsidRDefault="00C20C89" w:rsidP="003809FE">
            <w:pPr>
              <w:widowControl w:val="0"/>
              <w:suppressAutoHyphens/>
              <w:ind w:left="360"/>
              <w:rPr>
                <w:rFonts w:eastAsia="Bitstream Vera Sans" w:cs="FreeSans"/>
                <w:kern w:val="1"/>
                <w:lang w:eastAsia="zh-CN" w:bidi="hi-IN"/>
              </w:rPr>
            </w:pPr>
          </w:p>
          <w:p w:rsidR="00C20C89" w:rsidRPr="005D7070" w:rsidRDefault="00C20C89" w:rsidP="00C20C89">
            <w:pPr>
              <w:pStyle w:val="a8"/>
              <w:numPr>
                <w:ilvl w:val="0"/>
                <w:numId w:val="6"/>
              </w:numPr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Получение все необходимых разрешений и согласований на проведение строительно-монтажных работ.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Согласование с клиентом времени выполнения работ.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Проведение оценки (техническое обследование) состояния коммуникаций перед монтажными работами, и предоставление результатов по состоянию коммуникаций Заказчику. Проводится обследование и оценка: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Абонентских коробок (АК), ящиков распределительных (ЯР) в подъезде:</w:t>
            </w:r>
          </w:p>
          <w:p w:rsidR="00C20C89" w:rsidRPr="005D7070" w:rsidRDefault="00C20C89" w:rsidP="003809FE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 наличие и состояние (открыта/закрыта) дверца;</w:t>
            </w:r>
          </w:p>
          <w:p w:rsidR="00C20C89" w:rsidRPr="005D7070" w:rsidRDefault="00C20C89" w:rsidP="003809FE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 количество свободных отводов ТАН.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Телекоммуникационного шкафа (ТШ):</w:t>
            </w:r>
          </w:p>
          <w:p w:rsidR="00C20C89" w:rsidRPr="005D7070" w:rsidRDefault="00C20C89" w:rsidP="003809FE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 наличие и состояние (открыта/закрыта) дверь;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Трубостойки (слаботочные стояки) БИС и сущ. слаботочных каналов дома/здания:</w:t>
            </w:r>
          </w:p>
          <w:p w:rsidR="00C20C89" w:rsidRPr="005D7070" w:rsidRDefault="00C20C89" w:rsidP="003809FE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 наличие/отсутствие на этажах;</w:t>
            </w:r>
          </w:p>
          <w:p w:rsidR="00C20C89" w:rsidRPr="005D7070" w:rsidRDefault="00C20C89" w:rsidP="003809FE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- возможность прокладки в них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UTP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;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RG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-6 </w:t>
            </w:r>
          </w:p>
          <w:p w:rsidR="00C20C89" w:rsidRPr="005D7070" w:rsidRDefault="00C20C89" w:rsidP="00C20C89">
            <w:pPr>
              <w:pStyle w:val="a8"/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Обеспечение мероприятий по закрытию по окончании работы всех абонентских коробок, ящиков распределительных, ТШ.   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IP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TV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 (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FTTB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), в том числе: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Прокладка кабеля UTP 5е от ящика распределительного (ЯР) до помещения клиента по существующим слаботочным каналам, по фасаду здания, методом подвеса, по трубостойкам (слаботочным стоякам) ПАО «Башинформсвязь», кабель-каналам и иным конструкциям для размещения абонентских линий;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Обжим коннекторов типа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RJ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-45;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lastRenderedPageBreak/>
              <w:t xml:space="preserve">Устройство проходных отверстий через перегородки, стены с установкой гильз (при необходимости), с последующим </w:t>
            </w:r>
            <w:r w:rsidRPr="005D7070">
              <w:t>восстановлением целостности поверхностей и отделки лицевых и скрытых поверхностей зданий и помещений (в т. ч. и лакокрасочного покрытия), с заделкой всех промежуточных технологических отверстий. Цвет восстановленных частей должен совпадать с основным цветом всей поверхности.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Установка розетки типа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RJ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-45.  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Маркировка проложенных кабелей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UTP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 и др.,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RG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-6 маркировочными бирками тип 3 (см. Приложение 2 к ТЗ), маркировка установленных межэтажных трубостоек (слаботочных стояков) имиджевыми наклейками тип 2 (см. Приложение 2 к ТЗ).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Выполнение работ по подключению клиента к услуге КТВ от коробки АК: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Прокладка коаксиального кабеля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RG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-6;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Устройство проходных отверстий через перегородки, стены с установкой гильз (при необходимости), с последующим </w:t>
            </w:r>
            <w:r w:rsidRPr="005D7070">
              <w:t>восстановлением целостности поверхностей и отделки лицевых и скрытых поверхностей зданий и помещений (в т. ч. и лакокрасочного покрытия), с заделкой всех промежуточных технологических отверстий. Цвет восстановленных частей должен совпадать с основным цветом всей поверхности.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Обжим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F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-разъемов для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TV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-штекера, соединителей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RG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6 -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RG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6 («бочка»);</w:t>
            </w:r>
          </w:p>
          <w:p w:rsidR="00C20C89" w:rsidRPr="005D7070" w:rsidRDefault="00C20C89" w:rsidP="00C20C89">
            <w:pPr>
              <w:widowControl w:val="0"/>
              <w:numPr>
                <w:ilvl w:val="1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Проведение настройки одного телевизионного приёмника и демонстрация работы всех каналов по данной услуге.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STB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 (для услуги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IP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TV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), и/или автоматическая настройка одного телевизора.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Проведение тестирования и различных проверок, подтверждающих целостность линии и демонстрация клиенту услуги интернет и/или 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IP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>-</w:t>
            </w:r>
            <w:r w:rsidRPr="005D7070">
              <w:rPr>
                <w:rFonts w:eastAsia="Bitstream Vera Sans" w:cs="FreeSans"/>
                <w:kern w:val="1"/>
                <w:lang w:val="en-US" w:eastAsia="zh-CN" w:bidi="hi-IN"/>
              </w:rPr>
              <w:t>TV</w:t>
            </w: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 и/или КТВ.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Предоставление Заказчику подписанных со стороны Клиента актов приема-передачи выполненных работ;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Предоставление Заказчику иных документов, подписанных со стороны Клиента;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>Обеспечение учета и хранения оборудования Заказчика;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rFonts w:eastAsia="Bitstream Vera Sans" w:cs="FreeSans"/>
                <w:kern w:val="1"/>
                <w:lang w:eastAsia="zh-CN" w:bidi="hi-IN"/>
              </w:rPr>
              <w:t xml:space="preserve">Предоставление требуемой отчетности по оборудованию Заказчика; 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lang w:eastAsia="en-US"/>
              </w:rPr>
              <w:t>Согласование доступа на СМР в МКД с предоставлением подтверждающих документов Заказчику;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rPr>
                <w:lang w:eastAsia="en-US"/>
              </w:rPr>
              <w:t xml:space="preserve">Согласование доступа на СМР в БЦ и иные здания и сооружения с владельцами зданий/помещений/территорий, с арендаторами и арендодателями зданий/помещений/территорий с предоставлением подтверждающих документов </w:t>
            </w:r>
            <w:r w:rsidRPr="005D7070">
              <w:rPr>
                <w:lang w:eastAsia="en-US"/>
              </w:rPr>
              <w:lastRenderedPageBreak/>
              <w:t>Заказчику;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t>Согласовать перечень работ по результатам обследования объекта;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eastAsia="Bitstream Vera Sans" w:cs="FreeSans"/>
                <w:kern w:val="1"/>
                <w:lang w:eastAsia="zh-CN" w:bidi="hi-IN"/>
              </w:rPr>
            </w:pPr>
            <w:r w:rsidRPr="005D7070">
              <w:t>Согласовать с Заказчиком применение тех или иных удельных расценок за единицу работ для данного объекта на этапе согласования рабочей документации (схемы).</w:t>
            </w:r>
          </w:p>
          <w:p w:rsidR="00C20C89" w:rsidRPr="005D7070" w:rsidRDefault="00C20C89" w:rsidP="00C20C89">
            <w:pPr>
              <w:widowControl w:val="0"/>
              <w:numPr>
                <w:ilvl w:val="0"/>
                <w:numId w:val="6"/>
              </w:numPr>
              <w:suppressAutoHyphens/>
              <w:jc w:val="both"/>
            </w:pPr>
            <w:r w:rsidRPr="005D7070">
              <w:rPr>
                <w:lang w:eastAsia="en-US"/>
              </w:rPr>
              <w:t>Осуществить Сдачу объектов с предоставлением следующих документов: актов приёма-передачи выполненных работ; документов, подтверждающих факт согласования доступа на СМР в МКД/БЦ/здания и сооружения, согласно п.13 и п.14 данного раздела ТЗ; исполнительной схемы проложенной линии связи; актов выполненных работ по форме КС-2, приложения к актам КС-2 (ведомость использованных при строительстве материалов), справка по стоимости выполненных работ и затрат по форме КС-3.</w:t>
            </w:r>
          </w:p>
        </w:tc>
      </w:tr>
      <w:tr w:rsidR="00C20C89" w:rsidRPr="000735B3" w:rsidTr="003809FE">
        <w:tc>
          <w:tcPr>
            <w:tcW w:w="3060" w:type="dxa"/>
            <w:gridSpan w:val="2"/>
          </w:tcPr>
          <w:p w:rsidR="00C20C89" w:rsidRPr="00AA50D4" w:rsidRDefault="00C20C89" w:rsidP="00C20C89">
            <w:pPr>
              <w:numPr>
                <w:ilvl w:val="0"/>
                <w:numId w:val="3"/>
              </w:numPr>
              <w:ind w:left="459" w:hanging="425"/>
              <w:contextualSpacing/>
              <w:rPr>
                <w:b/>
              </w:rPr>
            </w:pPr>
            <w:r w:rsidRPr="00AA50D4">
              <w:rPr>
                <w:b/>
              </w:rPr>
              <w:lastRenderedPageBreak/>
              <w:t>Оформление рабочей документации</w:t>
            </w:r>
          </w:p>
        </w:tc>
        <w:tc>
          <w:tcPr>
            <w:tcW w:w="6466" w:type="dxa"/>
          </w:tcPr>
          <w:p w:rsidR="00C20C89" w:rsidRPr="00AA50D4" w:rsidRDefault="00C20C89" w:rsidP="003809FE">
            <w:pPr>
              <w:spacing w:after="240"/>
              <w:jc w:val="both"/>
              <w:rPr>
                <w:spacing w:val="-5"/>
                <w:w w:val="102"/>
              </w:rPr>
            </w:pPr>
            <w:r w:rsidRPr="00AA50D4">
              <w:t>Для выполнения СМР Подрядчик оформляет и согласовывает с Заказчиком рабочую схему прокладки в сроки, установленные Заказом.</w:t>
            </w:r>
          </w:p>
        </w:tc>
      </w:tr>
      <w:tr w:rsidR="00C20C89" w:rsidRPr="000735B3" w:rsidTr="003809FE">
        <w:tc>
          <w:tcPr>
            <w:tcW w:w="3060" w:type="dxa"/>
            <w:gridSpan w:val="2"/>
          </w:tcPr>
          <w:p w:rsidR="00C20C89" w:rsidRPr="000735B3" w:rsidRDefault="00C20C89" w:rsidP="00C20C89">
            <w:pPr>
              <w:numPr>
                <w:ilvl w:val="0"/>
                <w:numId w:val="3"/>
              </w:numPr>
              <w:ind w:left="459" w:hanging="425"/>
              <w:contextualSpacing/>
              <w:rPr>
                <w:b/>
              </w:rPr>
            </w:pPr>
            <w:r w:rsidRPr="00AA50D4">
              <w:rPr>
                <w:b/>
              </w:rPr>
              <w:t>Оформление исполнительной документации</w:t>
            </w:r>
          </w:p>
        </w:tc>
        <w:tc>
          <w:tcPr>
            <w:tcW w:w="6466" w:type="dxa"/>
          </w:tcPr>
          <w:p w:rsidR="00C20C89" w:rsidRPr="005D7070" w:rsidRDefault="00C20C89" w:rsidP="003809FE">
            <w:pPr>
              <w:spacing w:after="240"/>
              <w:jc w:val="both"/>
            </w:pPr>
            <w:r w:rsidRPr="005D7070">
              <w:t xml:space="preserve">При оформлении исполнительной документации руководствоваться положениями «Методических рекомендаций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(МР-2п – Приложение №6 к Договору). </w:t>
            </w:r>
          </w:p>
          <w:p w:rsidR="00C20C89" w:rsidRPr="00AA50D4" w:rsidRDefault="00C20C89" w:rsidP="003809FE">
            <w:pPr>
              <w:spacing w:after="240"/>
              <w:jc w:val="both"/>
            </w:pPr>
            <w:r w:rsidRPr="00AA50D4">
              <w:t>Перечень документов, обязательных к сдаче Подрядчиком Заказчик</w:t>
            </w:r>
            <w:r>
              <w:t>у</w:t>
            </w:r>
            <w:r w:rsidRPr="00AA50D4">
              <w:t xml:space="preserve"> в составе исполнительной документации:</w:t>
            </w:r>
          </w:p>
          <w:p w:rsidR="00C20C89" w:rsidRPr="00AA50D4" w:rsidRDefault="00C20C89" w:rsidP="003809FE">
            <w:pPr>
              <w:spacing w:after="240"/>
              <w:jc w:val="both"/>
            </w:pPr>
            <w:r w:rsidRPr="00AA50D4">
              <w:t>- акт приёма-передачи выполненных работ, пописанный со стороны Клиента;</w:t>
            </w:r>
          </w:p>
          <w:p w:rsidR="00C20C89" w:rsidRPr="00AA50D4" w:rsidRDefault="00C20C89" w:rsidP="003809FE">
            <w:pPr>
              <w:spacing w:after="240"/>
              <w:jc w:val="both"/>
            </w:pPr>
            <w:r w:rsidRPr="00AA50D4">
              <w:t>- документы, подтверждающие факт согласования доступа в МКД и/или БЦ/здания и сооружения (например, протоколы опроса собственников жилья, переписка с УК, официальные ответы владельцев зданий и сооружений и т.п. на запрос доступа);</w:t>
            </w:r>
          </w:p>
          <w:p w:rsidR="00C20C89" w:rsidRPr="00AA50D4" w:rsidRDefault="00C20C89" w:rsidP="003809FE">
            <w:pPr>
              <w:spacing w:after="240"/>
              <w:jc w:val="both"/>
            </w:pPr>
            <w:r w:rsidRPr="00AA50D4">
              <w:t>- исполнительная схема проложенной лини связи, оформленная с учётом требований МР-2п.</w:t>
            </w:r>
          </w:p>
          <w:p w:rsidR="00C20C89" w:rsidRPr="000735B3" w:rsidRDefault="00C20C89" w:rsidP="003809FE">
            <w:pPr>
              <w:spacing w:after="240"/>
              <w:jc w:val="both"/>
            </w:pPr>
            <w:r w:rsidRPr="00257C74">
              <w:t xml:space="preserve">После завершения строительно-монтажных работ, Подрядчик предоставляет Заказчику комплект исполнительной документации (КИД) в электронном виде (в формате pdf, отдельные исходные файлы (схемы) по требованию заказчика – в формате MS Visio) для проверки. После проведения проверки и устранения замечаний Подрядчик предоставляет КИД на бумажном носителе в количестве 1 экз. </w:t>
            </w:r>
          </w:p>
        </w:tc>
      </w:tr>
      <w:tr w:rsidR="00C20C89" w:rsidRPr="000735B3" w:rsidTr="003809FE">
        <w:trPr>
          <w:trHeight w:val="1176"/>
        </w:trPr>
        <w:tc>
          <w:tcPr>
            <w:tcW w:w="3060" w:type="dxa"/>
            <w:gridSpan w:val="2"/>
          </w:tcPr>
          <w:p w:rsidR="00C20C89" w:rsidRPr="00257C74" w:rsidRDefault="00C20C89" w:rsidP="00C20C89">
            <w:pPr>
              <w:numPr>
                <w:ilvl w:val="0"/>
                <w:numId w:val="3"/>
              </w:numPr>
              <w:ind w:left="459" w:hanging="459"/>
              <w:contextualSpacing/>
              <w:rPr>
                <w:b/>
              </w:rPr>
            </w:pPr>
            <w:r w:rsidRPr="00257C74">
              <w:rPr>
                <w:b/>
              </w:rPr>
              <w:lastRenderedPageBreak/>
              <w:t>Требования к применяемым материалам</w:t>
            </w:r>
          </w:p>
        </w:tc>
        <w:tc>
          <w:tcPr>
            <w:tcW w:w="6466" w:type="dxa"/>
          </w:tcPr>
          <w:p w:rsidR="00C20C89" w:rsidRPr="00257C74" w:rsidRDefault="00C20C89" w:rsidP="003809FE">
            <w:pPr>
              <w:spacing w:after="240"/>
              <w:jc w:val="both"/>
            </w:pPr>
            <w:r w:rsidRPr="00257C74">
              <w:t>Согласовать в обязательном порядке, в установленные Договором сроки, письменно всю спецификацию материалов с Заказчиком до начала работ.</w:t>
            </w:r>
          </w:p>
        </w:tc>
      </w:tr>
      <w:tr w:rsidR="00C20C89" w:rsidRPr="000735B3" w:rsidTr="003809FE">
        <w:tc>
          <w:tcPr>
            <w:tcW w:w="3060" w:type="dxa"/>
            <w:gridSpan w:val="2"/>
          </w:tcPr>
          <w:p w:rsidR="00C20C89" w:rsidRPr="00257C74" w:rsidRDefault="00C20C89" w:rsidP="00C20C89">
            <w:pPr>
              <w:numPr>
                <w:ilvl w:val="0"/>
                <w:numId w:val="3"/>
              </w:numPr>
              <w:ind w:left="459" w:hanging="459"/>
              <w:contextualSpacing/>
              <w:rPr>
                <w:b/>
              </w:rPr>
            </w:pPr>
            <w:r w:rsidRPr="00257C74">
              <w:rPr>
                <w:b/>
              </w:rPr>
              <w:t>Охрана труда</w:t>
            </w:r>
          </w:p>
          <w:p w:rsidR="00C20C89" w:rsidRPr="00257C74" w:rsidRDefault="00C20C89" w:rsidP="003809FE">
            <w:pPr>
              <w:rPr>
                <w:b/>
              </w:rPr>
            </w:pPr>
          </w:p>
        </w:tc>
        <w:tc>
          <w:tcPr>
            <w:tcW w:w="6466" w:type="dxa"/>
          </w:tcPr>
          <w:p w:rsidR="00C20C89" w:rsidRPr="00257C74" w:rsidRDefault="00C20C89" w:rsidP="003809FE">
            <w:pPr>
              <w:spacing w:after="240"/>
              <w:jc w:val="both"/>
            </w:pPr>
            <w:r w:rsidRPr="00257C74"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C20C89" w:rsidRPr="000735B3" w:rsidTr="003809FE">
        <w:tc>
          <w:tcPr>
            <w:tcW w:w="3060" w:type="dxa"/>
            <w:gridSpan w:val="2"/>
          </w:tcPr>
          <w:p w:rsidR="00C20C89" w:rsidRPr="00257C74" w:rsidRDefault="00C20C89" w:rsidP="00C20C89">
            <w:pPr>
              <w:numPr>
                <w:ilvl w:val="0"/>
                <w:numId w:val="3"/>
              </w:numPr>
              <w:ind w:left="459" w:hanging="425"/>
              <w:contextualSpacing/>
              <w:rPr>
                <w:b/>
              </w:rPr>
            </w:pPr>
            <w:r w:rsidRPr="00257C74">
              <w:rPr>
                <w:b/>
              </w:rPr>
              <w:t>Охрана окружающей среды</w:t>
            </w:r>
          </w:p>
        </w:tc>
        <w:tc>
          <w:tcPr>
            <w:tcW w:w="6466" w:type="dxa"/>
          </w:tcPr>
          <w:p w:rsidR="00C20C89" w:rsidRPr="00257C74" w:rsidRDefault="00C20C89" w:rsidP="003809FE">
            <w:pPr>
              <w:spacing w:after="240"/>
              <w:jc w:val="both"/>
            </w:pPr>
            <w:r w:rsidRPr="00257C74">
              <w:t>Предусмотреть мероприятия по защите и охране окружающей среды.</w:t>
            </w:r>
          </w:p>
        </w:tc>
      </w:tr>
    </w:tbl>
    <w:p w:rsidR="00C20C89" w:rsidRPr="000735B3" w:rsidRDefault="00C20C89" w:rsidP="00C20C89">
      <w:pPr>
        <w:jc w:val="center"/>
        <w:rPr>
          <w:b/>
          <w:bCs/>
          <w:kern w:val="32"/>
        </w:rPr>
      </w:pPr>
    </w:p>
    <w:p w:rsidR="00C20C89" w:rsidRPr="00257C74" w:rsidRDefault="00C20C89" w:rsidP="00C20C89">
      <w:pPr>
        <w:widowControl w:val="0"/>
        <w:spacing w:line="360" w:lineRule="auto"/>
        <w:jc w:val="both"/>
        <w:rPr>
          <w:rFonts w:eastAsia="Calibri"/>
        </w:rPr>
      </w:pPr>
      <w:r w:rsidRPr="00257C74">
        <w:rPr>
          <w:rFonts w:eastAsia="Calibri"/>
        </w:rPr>
        <w:t>Приложения:</w:t>
      </w:r>
    </w:p>
    <w:p w:rsidR="00C20C89" w:rsidRPr="00257C74" w:rsidRDefault="00C20C89" w:rsidP="00C20C89">
      <w:pPr>
        <w:numPr>
          <w:ilvl w:val="0"/>
          <w:numId w:val="2"/>
        </w:numPr>
        <w:jc w:val="both"/>
        <w:rPr>
          <w:bCs/>
        </w:rPr>
      </w:pPr>
      <w:r w:rsidRPr="00257C74">
        <w:t>Приложение № 1 «Список терминов, определений и сокращений</w:t>
      </w:r>
      <w:r w:rsidRPr="00257C74">
        <w:rPr>
          <w:bCs/>
        </w:rPr>
        <w:t>».</w:t>
      </w:r>
    </w:p>
    <w:p w:rsidR="00C20C89" w:rsidRPr="00257C74" w:rsidRDefault="00C20C89" w:rsidP="00C20C89">
      <w:pPr>
        <w:numPr>
          <w:ilvl w:val="0"/>
          <w:numId w:val="2"/>
        </w:numPr>
        <w:jc w:val="both"/>
        <w:rPr>
          <w:bCs/>
        </w:rPr>
      </w:pPr>
      <w:r w:rsidRPr="00257C74">
        <w:rPr>
          <w:bCs/>
        </w:rPr>
        <w:t>Приложение № 2 Формат имиджевых наклеек и маркировочных бирок.</w:t>
      </w:r>
    </w:p>
    <w:p w:rsidR="00C20C89" w:rsidRPr="005D699E" w:rsidRDefault="00C20C89" w:rsidP="00C20C89">
      <w:pPr>
        <w:rPr>
          <w:color w:val="FF0000"/>
        </w:rPr>
      </w:pPr>
    </w:p>
    <w:p w:rsidR="00C20C89" w:rsidRPr="000735B3" w:rsidRDefault="00C20C89" w:rsidP="00C20C89">
      <w:pPr>
        <w:ind w:left="1069"/>
        <w:contextualSpacing/>
        <w:jc w:val="right"/>
      </w:pPr>
      <w:bookmarkStart w:id="0" w:name="_Toc369516729"/>
      <w:bookmarkStart w:id="1" w:name="_Toc367782434"/>
    </w:p>
    <w:bookmarkEnd w:id="0"/>
    <w:bookmarkEnd w:id="1"/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Default="00C20C89" w:rsidP="00C20C89">
      <w:pPr>
        <w:pStyle w:val="a4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C20C89" w:rsidRPr="00257C74" w:rsidRDefault="00C20C89" w:rsidP="00C20C89">
      <w:pPr>
        <w:pageBreakBefore/>
        <w:jc w:val="right"/>
      </w:pPr>
      <w:r w:rsidRPr="00257C74">
        <w:lastRenderedPageBreak/>
        <w:t>Приложение №1 к Техническому заданию</w:t>
      </w:r>
    </w:p>
    <w:p w:rsidR="00C20C89" w:rsidRPr="00257C74" w:rsidRDefault="00C20C89" w:rsidP="00C20C89">
      <w:pPr>
        <w:keepNext/>
        <w:keepLines/>
        <w:spacing w:before="480"/>
        <w:ind w:left="432" w:hanging="432"/>
        <w:jc w:val="center"/>
        <w:outlineLvl w:val="0"/>
        <w:rPr>
          <w:b/>
          <w:bCs/>
          <w:kern w:val="32"/>
        </w:rPr>
      </w:pPr>
      <w:bookmarkStart w:id="2" w:name="_Toc367866172"/>
      <w:bookmarkStart w:id="3" w:name="_Toc369858242"/>
      <w:r w:rsidRPr="00257C74">
        <w:rPr>
          <w:b/>
          <w:bCs/>
          <w:kern w:val="32"/>
        </w:rPr>
        <w:t>Список терминов, определений и сокращени</w:t>
      </w:r>
      <w:bookmarkEnd w:id="2"/>
      <w:bookmarkEnd w:id="3"/>
      <w:r w:rsidRPr="00257C74">
        <w:rPr>
          <w:b/>
          <w:bCs/>
          <w:kern w:val="32"/>
        </w:rPr>
        <w:t>й</w:t>
      </w:r>
    </w:p>
    <w:p w:rsidR="00C20C89" w:rsidRPr="00257C74" w:rsidRDefault="00C20C89" w:rsidP="00C20C89">
      <w:pPr>
        <w:ind w:firstLine="540"/>
        <w:jc w:val="both"/>
      </w:pPr>
    </w:p>
    <w:p w:rsidR="00C20C89" w:rsidRPr="00257C74" w:rsidRDefault="00C20C89" w:rsidP="00C20C89">
      <w:pPr>
        <w:ind w:firstLine="540"/>
        <w:jc w:val="both"/>
      </w:pPr>
      <w:r w:rsidRPr="00257C74">
        <w:t>Определения:</w:t>
      </w:r>
    </w:p>
    <w:p w:rsidR="00C20C89" w:rsidRPr="00257C74" w:rsidRDefault="00C20C89" w:rsidP="00C20C89">
      <w:pPr>
        <w:ind w:firstLine="540"/>
        <w:jc w:val="both"/>
      </w:pPr>
    </w:p>
    <w:tbl>
      <w:tblPr>
        <w:tblW w:w="963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7839"/>
      </w:tblGrid>
      <w:tr w:rsidR="00C20C89" w:rsidRPr="00257C74" w:rsidTr="003809FE">
        <w:trPr>
          <w:trHeight w:val="601"/>
        </w:trPr>
        <w:tc>
          <w:tcPr>
            <w:tcW w:w="1564" w:type="dxa"/>
          </w:tcPr>
          <w:p w:rsidR="00C20C89" w:rsidRPr="00257C74" w:rsidRDefault="00C20C89" w:rsidP="003809FE">
            <w:r w:rsidRPr="00257C74">
              <w:t>Заказчик</w:t>
            </w:r>
          </w:p>
        </w:tc>
        <w:tc>
          <w:tcPr>
            <w:tcW w:w="236" w:type="dxa"/>
          </w:tcPr>
          <w:p w:rsidR="00C20C89" w:rsidRPr="00257C74" w:rsidRDefault="00C20C89" w:rsidP="003809FE">
            <w:pPr>
              <w:rPr>
                <w:lang w:val="en-US"/>
              </w:rPr>
            </w:pPr>
            <w:r w:rsidRPr="00257C74">
              <w:rPr>
                <w:lang w:val="en-US"/>
              </w:rPr>
              <w:t>-</w:t>
            </w:r>
          </w:p>
        </w:tc>
        <w:tc>
          <w:tcPr>
            <w:tcW w:w="7839" w:type="dxa"/>
          </w:tcPr>
          <w:p w:rsidR="00C20C89" w:rsidRPr="00257C74" w:rsidRDefault="00C20C89" w:rsidP="003809FE">
            <w:r w:rsidRPr="00257C74">
              <w:t xml:space="preserve">ПАО «Башинформсвязь» </w:t>
            </w:r>
          </w:p>
        </w:tc>
      </w:tr>
      <w:tr w:rsidR="00C20C89" w:rsidRPr="00257C74" w:rsidTr="003809FE">
        <w:trPr>
          <w:trHeight w:val="70"/>
        </w:trPr>
        <w:tc>
          <w:tcPr>
            <w:tcW w:w="1564" w:type="dxa"/>
          </w:tcPr>
          <w:p w:rsidR="00C20C89" w:rsidRPr="00257C74" w:rsidRDefault="00C20C89" w:rsidP="003809FE"/>
        </w:tc>
        <w:tc>
          <w:tcPr>
            <w:tcW w:w="236" w:type="dxa"/>
          </w:tcPr>
          <w:p w:rsidR="00C20C89" w:rsidRPr="00257C74" w:rsidRDefault="00C20C89" w:rsidP="003809FE"/>
        </w:tc>
        <w:tc>
          <w:tcPr>
            <w:tcW w:w="7839" w:type="dxa"/>
          </w:tcPr>
          <w:p w:rsidR="00C20C89" w:rsidRPr="00257C74" w:rsidRDefault="00C20C89" w:rsidP="003809FE">
            <w:pPr>
              <w:rPr>
                <w:lang w:val="en-US"/>
              </w:rPr>
            </w:pPr>
          </w:p>
        </w:tc>
      </w:tr>
    </w:tbl>
    <w:p w:rsidR="00C20C89" w:rsidRPr="00257C74" w:rsidRDefault="00C20C89" w:rsidP="00C20C89">
      <w:pPr>
        <w:ind w:firstLine="540"/>
        <w:jc w:val="both"/>
        <w:rPr>
          <w:lang w:val="en-US"/>
        </w:rPr>
      </w:pPr>
    </w:p>
    <w:p w:rsidR="00C20C89" w:rsidRPr="00257C74" w:rsidRDefault="00C20C89" w:rsidP="00C20C89">
      <w:pPr>
        <w:ind w:firstLine="540"/>
        <w:jc w:val="both"/>
      </w:pPr>
      <w:r w:rsidRPr="00257C74">
        <w:t>Сокращения:</w:t>
      </w:r>
    </w:p>
    <w:p w:rsidR="00C20C89" w:rsidRPr="00257C74" w:rsidRDefault="00C20C89" w:rsidP="00C20C89">
      <w:pPr>
        <w:ind w:firstLine="540"/>
        <w:jc w:val="both"/>
      </w:pPr>
    </w:p>
    <w:tbl>
      <w:tblPr>
        <w:tblW w:w="1052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2586"/>
        <w:gridCol w:w="284"/>
        <w:gridCol w:w="7654"/>
      </w:tblGrid>
      <w:tr w:rsidR="00C20C89" w:rsidRPr="00257C74" w:rsidTr="003809FE">
        <w:tc>
          <w:tcPr>
            <w:tcW w:w="2586" w:type="dxa"/>
          </w:tcPr>
          <w:p w:rsidR="00C20C89" w:rsidRPr="00257C74" w:rsidRDefault="00C20C89" w:rsidP="003809FE"/>
        </w:tc>
        <w:tc>
          <w:tcPr>
            <w:tcW w:w="284" w:type="dxa"/>
          </w:tcPr>
          <w:p w:rsidR="00C20C89" w:rsidRPr="00257C74" w:rsidRDefault="00C20C89" w:rsidP="003809FE"/>
        </w:tc>
        <w:tc>
          <w:tcPr>
            <w:tcW w:w="7654" w:type="dxa"/>
          </w:tcPr>
          <w:p w:rsidR="00C20C89" w:rsidRPr="00257C74" w:rsidRDefault="00C20C89" w:rsidP="003809FE"/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rPr>
                <w:bCs/>
                <w:lang w:val="en-US"/>
              </w:rPr>
            </w:pPr>
            <w:r w:rsidRPr="00257C74">
              <w:rPr>
                <w:bCs/>
                <w:lang w:val="en-US"/>
              </w:rPr>
              <w:t>FTTB</w:t>
            </w: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  <w:r w:rsidRPr="00257C74">
              <w:rPr>
                <w:bCs/>
                <w:lang w:val="en-US"/>
              </w:rPr>
              <w:t>F-</w:t>
            </w:r>
            <w:r w:rsidRPr="00257C74">
              <w:rPr>
                <w:bCs/>
              </w:rPr>
              <w:t>разъёмы</w:t>
            </w: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  <w:r w:rsidRPr="00257C74">
              <w:rPr>
                <w:lang w:val="en-US"/>
              </w:rPr>
              <w:t>IP-TV</w:t>
            </w: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  <w:r w:rsidRPr="00257C74">
              <w:rPr>
                <w:lang w:val="en-US"/>
              </w:rPr>
              <w:t>RG-6</w:t>
            </w: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  <w:r w:rsidRPr="00257C74">
              <w:rPr>
                <w:lang w:val="en-US"/>
              </w:rPr>
              <w:t>RG-45</w:t>
            </w: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  <w:r w:rsidRPr="00257C74">
              <w:rPr>
                <w:lang w:val="en-US"/>
              </w:rPr>
              <w:t>STB</w:t>
            </w: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  <w:r w:rsidRPr="00257C74">
              <w:rPr>
                <w:lang w:val="en-US"/>
              </w:rPr>
              <w:t>UTP 5</w:t>
            </w:r>
            <w:r w:rsidRPr="00257C74">
              <w:t>е</w:t>
            </w: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ind w:right="-245"/>
              <w:rPr>
                <w:lang w:val="en-US"/>
              </w:rPr>
            </w:pP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  <w:r w:rsidRPr="00257C74">
              <w:rPr>
                <w:bCs/>
              </w:rPr>
              <w:t>АК</w:t>
            </w:r>
          </w:p>
          <w:p w:rsidR="00C20C89" w:rsidRPr="00257C74" w:rsidRDefault="00C20C89" w:rsidP="003809FE">
            <w:pPr>
              <w:rPr>
                <w:bCs/>
                <w:lang w:val="en-US"/>
              </w:rPr>
            </w:pPr>
            <w:r w:rsidRPr="00257C74">
              <w:rPr>
                <w:bCs/>
              </w:rPr>
              <w:t>БИС</w:t>
            </w:r>
          </w:p>
          <w:p w:rsidR="00C20C89" w:rsidRPr="00257C74" w:rsidRDefault="00C20C89" w:rsidP="003809FE">
            <w:pPr>
              <w:rPr>
                <w:bCs/>
              </w:rPr>
            </w:pPr>
            <w:r w:rsidRPr="00257C74">
              <w:rPr>
                <w:bCs/>
              </w:rPr>
              <w:t>БЦ</w:t>
            </w:r>
          </w:p>
        </w:tc>
        <w:tc>
          <w:tcPr>
            <w:tcW w:w="284" w:type="dxa"/>
          </w:tcPr>
          <w:p w:rsidR="00C20C89" w:rsidRPr="00257C74" w:rsidRDefault="00C20C89" w:rsidP="003809FE">
            <w:pPr>
              <w:rPr>
                <w:lang w:val="en-US"/>
              </w:rPr>
            </w:pPr>
            <w:r w:rsidRPr="00257C74">
              <w:rPr>
                <w:lang w:val="en-US"/>
              </w:rPr>
              <w:t>-</w:t>
            </w:r>
          </w:p>
          <w:p w:rsidR="00C20C89" w:rsidRPr="00257C74" w:rsidRDefault="00C20C89" w:rsidP="003809FE">
            <w:pPr>
              <w:rPr>
                <w:lang w:val="en-US"/>
              </w:rPr>
            </w:pPr>
          </w:p>
          <w:p w:rsidR="00C20C89" w:rsidRPr="00257C74" w:rsidRDefault="00C20C89" w:rsidP="003809FE">
            <w:pPr>
              <w:rPr>
                <w:lang w:val="en-US"/>
              </w:rPr>
            </w:pPr>
          </w:p>
          <w:p w:rsidR="00C20C89" w:rsidRPr="00257C74" w:rsidRDefault="00C20C89" w:rsidP="003809FE">
            <w:pPr>
              <w:rPr>
                <w:lang w:val="en-US"/>
              </w:rPr>
            </w:pPr>
          </w:p>
          <w:p w:rsidR="00C20C89" w:rsidRPr="00257C74" w:rsidRDefault="00C20C89" w:rsidP="003809FE">
            <w:pPr>
              <w:rPr>
                <w:lang w:val="en-US"/>
              </w:rPr>
            </w:pP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pPr>
              <w:rPr>
                <w:lang w:val="en-US"/>
              </w:rPr>
            </w:pP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pPr>
              <w:jc w:val="both"/>
            </w:pPr>
            <w:r w:rsidRPr="00257C74">
              <w:t xml:space="preserve">(Fiber to the </w:t>
            </w:r>
            <w:r w:rsidRPr="00257C74">
              <w:rPr>
                <w:lang w:val="en-US"/>
              </w:rPr>
              <w:t>Building</w:t>
            </w:r>
            <w:r w:rsidRPr="00257C74">
              <w:t>) Разновидность FTTx, технология построения сети доступа, при которой волоконно-оптический кабель прокладывается до здания, в здании устанавливается активное оборудование, и распределительная сеть от активного оборудования по зданию выполняется многожильным медным кабелем.</w:t>
            </w:r>
          </w:p>
          <w:p w:rsidR="00C20C89" w:rsidRPr="00257C74" w:rsidRDefault="00C20C89" w:rsidP="003809FE">
            <w:pPr>
              <w:jc w:val="both"/>
            </w:pPr>
            <w:r w:rsidRPr="00257C74">
              <w:t>Они предназначены для соединения коаксиальных кабелей и диаметром до 7 мм и коммутации их с различным оборудованием. Работают на частотах до 1200 MHz.</w:t>
            </w:r>
          </w:p>
          <w:p w:rsidR="00C20C89" w:rsidRPr="00257C74" w:rsidRDefault="00C20C89" w:rsidP="003809FE">
            <w:pPr>
              <w:jc w:val="both"/>
            </w:pPr>
            <w:r w:rsidRPr="00257C74">
              <w:t>технология (стандарт) цифрового телевидения в сетях передачи данных по протоколу IP.</w:t>
            </w:r>
          </w:p>
          <w:p w:rsidR="00C20C89" w:rsidRPr="00257C74" w:rsidRDefault="00C20C89" w:rsidP="003809FE">
            <w:pPr>
              <w:jc w:val="both"/>
              <w:rPr>
                <w:szCs w:val="20"/>
              </w:rPr>
            </w:pPr>
            <w:r w:rsidRPr="00257C74">
              <w:rPr>
                <w:rStyle w:val="ab"/>
                <w:szCs w:val="20"/>
              </w:rPr>
              <w:t xml:space="preserve">Коаксиальный кабель, </w:t>
            </w:r>
            <w:r w:rsidRPr="00257C74">
              <w:rPr>
                <w:szCs w:val="20"/>
              </w:rPr>
              <w:t>предназначенный для передачи высокочастотных сигналов в различной электронной аппаратуре, особенно в ТВ – передатчиках. Используется в качестве абонентских линий в сетях КТВ.</w:t>
            </w:r>
          </w:p>
          <w:p w:rsidR="00C20C89" w:rsidRPr="00257C74" w:rsidRDefault="00C20C89" w:rsidP="003809FE">
            <w:pPr>
              <w:jc w:val="both"/>
              <w:rPr>
                <w:sz w:val="32"/>
              </w:rPr>
            </w:pPr>
            <w:r w:rsidRPr="00257C74">
              <w:t xml:space="preserve">стандартизированный физический сетевой интерфейс, используется в сетях </w:t>
            </w:r>
            <w:r w:rsidRPr="00257C74">
              <w:rPr>
                <w:lang w:val="en-US"/>
              </w:rPr>
              <w:t>FTTB</w:t>
            </w:r>
            <w:r w:rsidRPr="00257C74">
              <w:t xml:space="preserve"> (здесь)</w:t>
            </w:r>
          </w:p>
          <w:p w:rsidR="00C20C89" w:rsidRPr="00257C74" w:rsidRDefault="00C20C89" w:rsidP="003809FE">
            <w:pPr>
              <w:jc w:val="both"/>
            </w:pPr>
            <w:r w:rsidRPr="00257C74">
              <w:t xml:space="preserve">Абонентское устройство, принимающее, обрабатывающее и преобразующее сигнал DVB, совместимый с ТВ-приемником. Применяется для предоставления услуги </w:t>
            </w:r>
            <w:r w:rsidRPr="00257C74">
              <w:rPr>
                <w:lang w:val="en-US"/>
              </w:rPr>
              <w:t>IP</w:t>
            </w:r>
            <w:r w:rsidRPr="00257C74">
              <w:t>-</w:t>
            </w:r>
            <w:r w:rsidRPr="00257C74">
              <w:rPr>
                <w:lang w:val="en-US"/>
              </w:rPr>
              <w:t>TV</w:t>
            </w:r>
            <w:r w:rsidRPr="00257C74">
              <w:t xml:space="preserve">в сетях </w:t>
            </w:r>
            <w:r w:rsidRPr="00257C74">
              <w:rPr>
                <w:lang w:val="en-US"/>
              </w:rPr>
              <w:t>FTTB</w:t>
            </w:r>
            <w:r w:rsidRPr="00257C74">
              <w:t>.</w:t>
            </w:r>
          </w:p>
          <w:p w:rsidR="00C20C89" w:rsidRPr="00257C74" w:rsidRDefault="00C20C89" w:rsidP="003809FE">
            <w:pPr>
              <w:jc w:val="both"/>
            </w:pPr>
            <w:r w:rsidRPr="00257C74">
              <w:t>кабель UTP парной скрутки для структурированных кабельных систем. Предназначен для передачи сигналов с частотой до 100 МГц (</w:t>
            </w:r>
            <w:r w:rsidRPr="00257C74">
              <w:rPr>
                <w:bCs/>
              </w:rPr>
              <w:t>категории 5e</w:t>
            </w:r>
            <w:r w:rsidRPr="00257C74">
              <w:t>) в сетях по стандарту ИСО/МЭК 11801 при рабочем напряжение до 145 В переменного тока. Есть разновидности д</w:t>
            </w:r>
            <w:r w:rsidRPr="00257C74">
              <w:rPr>
                <w:bCs/>
              </w:rPr>
              <w:t>ля внутренней и внешней прокладки.</w:t>
            </w:r>
          </w:p>
          <w:p w:rsidR="00C20C89" w:rsidRPr="00257C74" w:rsidRDefault="00C20C89" w:rsidP="003809FE">
            <w:r w:rsidRPr="00257C74">
              <w:t>Антивандальная коробка</w:t>
            </w:r>
          </w:p>
          <w:p w:rsidR="00C20C89" w:rsidRPr="00257C74" w:rsidRDefault="00C20C89" w:rsidP="003809FE">
            <w:r w:rsidRPr="00257C74">
              <w:t>Сокращение от ПАО «Башинформсвязь»</w:t>
            </w:r>
          </w:p>
          <w:p w:rsidR="00C20C89" w:rsidRPr="00257C74" w:rsidRDefault="00C20C89" w:rsidP="003809FE">
            <w:pPr>
              <w:rPr>
                <w:bCs/>
              </w:rPr>
            </w:pPr>
            <w:r w:rsidRPr="00257C74">
              <w:t>Бизнес-Центр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r w:rsidRPr="00257C74">
              <w:t>КТВ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r w:rsidRPr="00257C74">
              <w:t>Кабельное ТВ (телевидение)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</w:pPr>
            <w:r w:rsidRPr="00257C74">
              <w:t>МКД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Многоквартирный дом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  <w:r w:rsidRPr="00257C74">
              <w:rPr>
                <w:bCs/>
                <w:shd w:val="clear" w:color="auto" w:fill="FFFFFF"/>
              </w:rPr>
              <w:t>МР-2п</w:t>
            </w:r>
          </w:p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</w:p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</w:p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</w:p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  <w:r w:rsidRPr="00257C74">
              <w:rPr>
                <w:bCs/>
                <w:shd w:val="clear" w:color="auto" w:fill="FFFFFF"/>
              </w:rPr>
              <w:t>ПНР</w:t>
            </w:r>
          </w:p>
          <w:p w:rsidR="00C20C89" w:rsidRPr="00257C74" w:rsidRDefault="00C20C89" w:rsidP="003809FE">
            <w:pPr>
              <w:ind w:right="-245"/>
              <w:rPr>
                <w:bCs/>
                <w:shd w:val="clear" w:color="auto" w:fill="FFFFFF"/>
              </w:rPr>
            </w:pPr>
            <w:r w:rsidRPr="00257C74">
              <w:rPr>
                <w:bCs/>
                <w:shd w:val="clear" w:color="auto" w:fill="FFFFFF"/>
              </w:rPr>
              <w:t>ПК</w:t>
            </w:r>
          </w:p>
          <w:p w:rsidR="00C20C89" w:rsidRPr="00257C74" w:rsidRDefault="00C20C89" w:rsidP="003809FE">
            <w:pPr>
              <w:ind w:right="-245"/>
            </w:pPr>
            <w:r w:rsidRPr="00257C74">
              <w:rPr>
                <w:bCs/>
                <w:shd w:val="clear" w:color="auto" w:fill="FFFFFF"/>
              </w:rPr>
              <w:t>«Последняя миля»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</w:tc>
        <w:tc>
          <w:tcPr>
            <w:tcW w:w="7654" w:type="dxa"/>
          </w:tcPr>
          <w:p w:rsidR="00C20C89" w:rsidRPr="00257C74" w:rsidRDefault="00C20C89" w:rsidP="003809FE">
            <w:pPr>
              <w:jc w:val="both"/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«Методические рекомендации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2-й редакции.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Пуско-наладочные работы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Персональный компьютер</w:t>
            </w:r>
          </w:p>
          <w:p w:rsidR="00C20C89" w:rsidRPr="00257C74" w:rsidRDefault="00C20C89" w:rsidP="003809FE">
            <w:pPr>
              <w:jc w:val="both"/>
              <w:rPr>
                <w:bCs/>
                <w:iCs/>
                <w:shd w:val="clear" w:color="auto" w:fill="FFFFFF"/>
              </w:rPr>
            </w:pPr>
            <w:r w:rsidRPr="00257C74">
              <w:rPr>
                <w:rStyle w:val="tgc"/>
              </w:rPr>
              <w:t>Канал связи, который соединяет последний сетевой узел провайдера и конечное оборудование клиента. По факту это абонентская линия (</w:t>
            </w:r>
            <w:r w:rsidRPr="00257C74">
              <w:rPr>
                <w:rStyle w:val="tgc"/>
                <w:lang w:val="en-US"/>
              </w:rPr>
              <w:t>UTP</w:t>
            </w:r>
            <w:r w:rsidRPr="00257C74">
              <w:rPr>
                <w:rStyle w:val="tgc"/>
              </w:rPr>
              <w:t xml:space="preserve"> </w:t>
            </w:r>
            <w:r w:rsidRPr="00257C74">
              <w:rPr>
                <w:rStyle w:val="tgc"/>
              </w:rPr>
              <w:lastRenderedPageBreak/>
              <w:t xml:space="preserve">и/или </w:t>
            </w:r>
            <w:r w:rsidRPr="00257C74">
              <w:rPr>
                <w:rStyle w:val="tgc"/>
                <w:lang w:val="en-US"/>
              </w:rPr>
              <w:t>RG</w:t>
            </w:r>
            <w:r w:rsidRPr="00257C74">
              <w:rPr>
                <w:rStyle w:val="tgc"/>
              </w:rPr>
              <w:t>-6) от УД БИС до абонентского оборудования у Клиента. Имеет ограничение по длине до 100 м.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</w:pPr>
            <w:r w:rsidRPr="00257C74">
              <w:lastRenderedPageBreak/>
              <w:t>Рабочая документация</w:t>
            </w:r>
          </w:p>
          <w:p w:rsidR="00C20C89" w:rsidRPr="00257C74" w:rsidRDefault="00C20C89" w:rsidP="003809FE">
            <w:pPr>
              <w:ind w:right="-245"/>
            </w:pPr>
          </w:p>
          <w:p w:rsidR="00C20C89" w:rsidRPr="00257C74" w:rsidRDefault="00C20C89" w:rsidP="003809FE">
            <w:pPr>
              <w:ind w:right="-245"/>
            </w:pPr>
            <w:r w:rsidRPr="00257C74">
              <w:t>СМР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pPr>
              <w:jc w:val="both"/>
            </w:pPr>
            <w:r w:rsidRPr="00257C74">
              <w:t>Здесь: рабочая схема прокладки линии связи и сметный расчет в удельных расценках за единицу работ.</w:t>
            </w:r>
          </w:p>
          <w:p w:rsidR="00C20C89" w:rsidRPr="00257C74" w:rsidRDefault="00C20C89" w:rsidP="003809FE">
            <w:r w:rsidRPr="00257C74">
              <w:t>Строительно-монтажные работы.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</w:pPr>
            <w:r w:rsidRPr="00257C74">
              <w:t>ТАН</w:t>
            </w:r>
          </w:p>
          <w:p w:rsidR="00C20C89" w:rsidRPr="00257C74" w:rsidRDefault="00C20C89" w:rsidP="003809FE">
            <w:pPr>
              <w:ind w:right="-245"/>
            </w:pPr>
            <w:r w:rsidRPr="00257C74">
              <w:t>ТЗ</w:t>
            </w:r>
          </w:p>
          <w:p w:rsidR="00C20C89" w:rsidRPr="00257C74" w:rsidRDefault="00C20C89" w:rsidP="003809FE">
            <w:pPr>
              <w:ind w:right="-245"/>
            </w:pPr>
            <w:r w:rsidRPr="00257C74">
              <w:t>Трубостойка</w:t>
            </w:r>
          </w:p>
          <w:p w:rsidR="00C20C89" w:rsidRPr="00257C74" w:rsidRDefault="00C20C89" w:rsidP="003809FE">
            <w:pPr>
              <w:ind w:right="-245"/>
            </w:pPr>
          </w:p>
          <w:p w:rsidR="00C20C89" w:rsidRPr="00257C74" w:rsidRDefault="00C20C89" w:rsidP="003809FE">
            <w:pPr>
              <w:ind w:right="-245"/>
            </w:pPr>
          </w:p>
          <w:p w:rsidR="00C20C89" w:rsidRPr="00257C74" w:rsidRDefault="00C20C89" w:rsidP="003809FE">
            <w:pPr>
              <w:ind w:right="-245"/>
            </w:pPr>
          </w:p>
          <w:p w:rsidR="00C20C89" w:rsidRPr="00257C74" w:rsidRDefault="00C20C89" w:rsidP="003809FE">
            <w:pPr>
              <w:ind w:right="-245"/>
            </w:pPr>
            <w:r w:rsidRPr="00257C74">
              <w:t>ТСЖ</w:t>
            </w:r>
          </w:p>
          <w:p w:rsidR="00C20C89" w:rsidRPr="00257C74" w:rsidRDefault="00C20C89" w:rsidP="003809FE">
            <w:pPr>
              <w:ind w:right="-245"/>
            </w:pPr>
            <w:r w:rsidRPr="00257C74">
              <w:t>ТУ</w:t>
            </w:r>
          </w:p>
          <w:p w:rsidR="00C20C89" w:rsidRPr="00257C74" w:rsidRDefault="00C20C89" w:rsidP="003809FE">
            <w:pPr>
              <w:ind w:right="-245"/>
            </w:pPr>
            <w:r w:rsidRPr="00257C74">
              <w:t>ТШ</w:t>
            </w:r>
          </w:p>
          <w:p w:rsidR="00C20C89" w:rsidRPr="00257C74" w:rsidRDefault="00C20C89" w:rsidP="003809FE">
            <w:pPr>
              <w:ind w:right="-245"/>
            </w:pPr>
            <w:r w:rsidRPr="00257C74">
              <w:t>УК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Ответвители телевизионного сигнала абонентские.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Техническое задание</w:t>
            </w:r>
          </w:p>
          <w:p w:rsidR="00C20C89" w:rsidRPr="00257C74" w:rsidRDefault="00C20C89" w:rsidP="003809FE">
            <w:pPr>
              <w:jc w:val="both"/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Слаботочный межэтажный стояк из пластиковых труб ПВХ (гладкая, серая) диаметром 40-50 мм с толщиной стенки от 2 мм и выше. Предназначен для прокладки внутри подъезда кабельных сетей различного типа и назначения (кроме кабеля эл. питания).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Товарищество собственников жилья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Технические условия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t>Телекоммуникационный шкаф</w:t>
            </w:r>
          </w:p>
          <w:p w:rsidR="00C20C89" w:rsidRPr="00257C74" w:rsidRDefault="00C20C89" w:rsidP="003809FE">
            <w:pPr>
              <w:rPr>
                <w:bCs/>
                <w:iCs/>
                <w:shd w:val="clear" w:color="auto" w:fill="FFFFFF"/>
              </w:rPr>
            </w:pPr>
            <w:r w:rsidRPr="00257C74">
              <w:rPr>
                <w:bCs/>
                <w:iCs/>
                <w:shd w:val="clear" w:color="auto" w:fill="FFFFFF"/>
              </w:rPr>
              <w:t>Управляющая компания (в сфере ЖКХ)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</w:pPr>
            <w:r w:rsidRPr="00257C74">
              <w:t>УД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</w:tc>
        <w:tc>
          <w:tcPr>
            <w:tcW w:w="7654" w:type="dxa"/>
          </w:tcPr>
          <w:p w:rsidR="00C20C89" w:rsidRPr="00257C74" w:rsidRDefault="00C20C89" w:rsidP="003809FE">
            <w:pPr>
              <w:jc w:val="both"/>
            </w:pPr>
            <w:r w:rsidRPr="00257C74">
              <w:t>Узел доступа сети передачи данных – средства связи, выполняющие функции систем коммутации на уровне доступа, расположенные, как правило, в ТШ.</w:t>
            </w:r>
          </w:p>
        </w:tc>
      </w:tr>
      <w:tr w:rsidR="00C20C89" w:rsidRPr="00257C74" w:rsidTr="003809FE">
        <w:tc>
          <w:tcPr>
            <w:tcW w:w="2586" w:type="dxa"/>
          </w:tcPr>
          <w:p w:rsidR="00C20C89" w:rsidRPr="00257C74" w:rsidRDefault="00C20C89" w:rsidP="003809FE">
            <w:pPr>
              <w:ind w:right="-245"/>
            </w:pPr>
            <w:r w:rsidRPr="00257C74">
              <w:t>ЯР</w:t>
            </w:r>
          </w:p>
        </w:tc>
        <w:tc>
          <w:tcPr>
            <w:tcW w:w="284" w:type="dxa"/>
          </w:tcPr>
          <w:p w:rsidR="00C20C89" w:rsidRPr="00257C74" w:rsidRDefault="00C20C89" w:rsidP="003809FE">
            <w:r w:rsidRPr="00257C74">
              <w:t>-</w:t>
            </w:r>
          </w:p>
          <w:p w:rsidR="00C20C89" w:rsidRPr="00257C74" w:rsidRDefault="00C20C89" w:rsidP="003809FE"/>
          <w:p w:rsidR="00C20C89" w:rsidRPr="00257C74" w:rsidRDefault="00C20C89" w:rsidP="003809FE"/>
        </w:tc>
        <w:tc>
          <w:tcPr>
            <w:tcW w:w="7654" w:type="dxa"/>
          </w:tcPr>
          <w:p w:rsidR="00C20C89" w:rsidRPr="00257C74" w:rsidRDefault="00C20C89" w:rsidP="003809FE">
            <w:pPr>
              <w:jc w:val="both"/>
            </w:pPr>
            <w:r w:rsidRPr="00257C74">
              <w:t xml:space="preserve">Ящик распределительный для размещения оконечных устройств (плинтов, патч-панелей) в сетях </w:t>
            </w:r>
            <w:r w:rsidRPr="00257C74">
              <w:rPr>
                <w:lang w:val="en-US"/>
              </w:rPr>
              <w:t>FTTB</w:t>
            </w:r>
          </w:p>
        </w:tc>
      </w:tr>
      <w:tr w:rsidR="00C20C89" w:rsidRPr="000735B3" w:rsidTr="003809FE">
        <w:trPr>
          <w:trHeight w:val="347"/>
        </w:trPr>
        <w:tc>
          <w:tcPr>
            <w:tcW w:w="2586" w:type="dxa"/>
          </w:tcPr>
          <w:p w:rsidR="00C20C89" w:rsidRPr="000735B3" w:rsidRDefault="00C20C89" w:rsidP="003809FE">
            <w:pPr>
              <w:ind w:right="-245"/>
            </w:pPr>
          </w:p>
        </w:tc>
        <w:tc>
          <w:tcPr>
            <w:tcW w:w="284" w:type="dxa"/>
          </w:tcPr>
          <w:p w:rsidR="00C20C89" w:rsidRPr="000735B3" w:rsidRDefault="00C20C89" w:rsidP="003809FE"/>
        </w:tc>
        <w:tc>
          <w:tcPr>
            <w:tcW w:w="7654" w:type="dxa"/>
          </w:tcPr>
          <w:p w:rsidR="00C20C89" w:rsidRPr="000735B3" w:rsidRDefault="00C20C89" w:rsidP="003809FE"/>
        </w:tc>
      </w:tr>
      <w:tr w:rsidR="00C20C89" w:rsidRPr="000735B3" w:rsidTr="003809FE">
        <w:tc>
          <w:tcPr>
            <w:tcW w:w="2586" w:type="dxa"/>
          </w:tcPr>
          <w:p w:rsidR="00C20C89" w:rsidRPr="000735B3" w:rsidRDefault="00C20C89" w:rsidP="003809FE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:rsidR="00C20C89" w:rsidRPr="000B2F4C" w:rsidRDefault="00C20C89" w:rsidP="003809FE">
            <w:pPr>
              <w:rPr>
                <w:color w:val="C00000"/>
              </w:rPr>
            </w:pPr>
          </w:p>
        </w:tc>
        <w:tc>
          <w:tcPr>
            <w:tcW w:w="7654" w:type="dxa"/>
          </w:tcPr>
          <w:p w:rsidR="00C20C89" w:rsidRPr="000B2F4C" w:rsidRDefault="00C20C89" w:rsidP="003809FE">
            <w:pPr>
              <w:rPr>
                <w:color w:val="C00000"/>
              </w:rPr>
            </w:pPr>
          </w:p>
        </w:tc>
      </w:tr>
      <w:tr w:rsidR="00C20C89" w:rsidRPr="000735B3" w:rsidTr="003809FE">
        <w:tc>
          <w:tcPr>
            <w:tcW w:w="2586" w:type="dxa"/>
          </w:tcPr>
          <w:p w:rsidR="00C20C89" w:rsidRPr="000735B3" w:rsidRDefault="00C20C89" w:rsidP="003809FE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:rsidR="00C20C89" w:rsidRPr="000735B3" w:rsidRDefault="00C20C89" w:rsidP="003809FE">
            <w:pPr>
              <w:rPr>
                <w:color w:val="000000"/>
              </w:rPr>
            </w:pPr>
          </w:p>
        </w:tc>
        <w:tc>
          <w:tcPr>
            <w:tcW w:w="7654" w:type="dxa"/>
          </w:tcPr>
          <w:p w:rsidR="00C20C89" w:rsidRPr="000735B3" w:rsidRDefault="00C20C89" w:rsidP="003809FE"/>
        </w:tc>
      </w:tr>
      <w:tr w:rsidR="00C20C89" w:rsidRPr="000735B3" w:rsidTr="003809FE">
        <w:tc>
          <w:tcPr>
            <w:tcW w:w="2586" w:type="dxa"/>
          </w:tcPr>
          <w:p w:rsidR="00C20C89" w:rsidRPr="00734E81" w:rsidRDefault="00C20C89" w:rsidP="003809FE">
            <w:pPr>
              <w:ind w:right="-245"/>
              <w:rPr>
                <w:color w:val="0070C0"/>
              </w:rPr>
            </w:pPr>
          </w:p>
        </w:tc>
        <w:tc>
          <w:tcPr>
            <w:tcW w:w="284" w:type="dxa"/>
          </w:tcPr>
          <w:p w:rsidR="00C20C89" w:rsidRPr="00734E81" w:rsidRDefault="00C20C89" w:rsidP="003809FE">
            <w:pPr>
              <w:rPr>
                <w:color w:val="0070C0"/>
              </w:rPr>
            </w:pPr>
          </w:p>
        </w:tc>
        <w:tc>
          <w:tcPr>
            <w:tcW w:w="7654" w:type="dxa"/>
          </w:tcPr>
          <w:p w:rsidR="00C20C89" w:rsidRPr="00734E81" w:rsidRDefault="00C20C89" w:rsidP="003809FE">
            <w:pPr>
              <w:rPr>
                <w:color w:val="0070C0"/>
              </w:rPr>
            </w:pPr>
          </w:p>
        </w:tc>
      </w:tr>
      <w:tr w:rsidR="00C20C89" w:rsidRPr="000735B3" w:rsidTr="003809FE">
        <w:trPr>
          <w:trHeight w:val="761"/>
        </w:trPr>
        <w:tc>
          <w:tcPr>
            <w:tcW w:w="2586" w:type="dxa"/>
          </w:tcPr>
          <w:p w:rsidR="00C20C89" w:rsidRPr="001178E1" w:rsidRDefault="00C20C89" w:rsidP="003809FE">
            <w:pPr>
              <w:ind w:right="-245"/>
              <w:rPr>
                <w:color w:val="0070C0"/>
              </w:rPr>
            </w:pPr>
          </w:p>
        </w:tc>
        <w:tc>
          <w:tcPr>
            <w:tcW w:w="284" w:type="dxa"/>
          </w:tcPr>
          <w:p w:rsidR="00C20C89" w:rsidRPr="001178E1" w:rsidRDefault="00C20C89" w:rsidP="003809FE">
            <w:pPr>
              <w:rPr>
                <w:color w:val="0070C0"/>
              </w:rPr>
            </w:pPr>
          </w:p>
        </w:tc>
        <w:tc>
          <w:tcPr>
            <w:tcW w:w="7654" w:type="dxa"/>
          </w:tcPr>
          <w:p w:rsidR="00C20C89" w:rsidRPr="00251D85" w:rsidRDefault="00C20C89" w:rsidP="003809FE">
            <w:pPr>
              <w:rPr>
                <w:color w:val="0070C0"/>
              </w:rPr>
            </w:pPr>
          </w:p>
        </w:tc>
      </w:tr>
      <w:tr w:rsidR="00C20C89" w:rsidRPr="000735B3" w:rsidTr="003809FE">
        <w:trPr>
          <w:trHeight w:val="80"/>
        </w:trPr>
        <w:tc>
          <w:tcPr>
            <w:tcW w:w="2586" w:type="dxa"/>
          </w:tcPr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Default="00C20C89" w:rsidP="003809FE">
            <w:pPr>
              <w:ind w:right="-245"/>
              <w:rPr>
                <w:color w:val="0070C0"/>
              </w:rPr>
            </w:pPr>
          </w:p>
          <w:p w:rsidR="00C20C89" w:rsidRPr="00734E81" w:rsidRDefault="00C20C89" w:rsidP="003809FE">
            <w:pPr>
              <w:ind w:right="-245"/>
              <w:rPr>
                <w:color w:val="0070C0"/>
              </w:rPr>
            </w:pPr>
          </w:p>
        </w:tc>
        <w:tc>
          <w:tcPr>
            <w:tcW w:w="284" w:type="dxa"/>
          </w:tcPr>
          <w:p w:rsidR="00C20C89" w:rsidRPr="00734E81" w:rsidRDefault="00C20C89" w:rsidP="003809FE">
            <w:pPr>
              <w:rPr>
                <w:color w:val="0070C0"/>
              </w:rPr>
            </w:pPr>
          </w:p>
        </w:tc>
        <w:tc>
          <w:tcPr>
            <w:tcW w:w="7654" w:type="dxa"/>
          </w:tcPr>
          <w:p w:rsidR="00C20C89" w:rsidRPr="00734E81" w:rsidRDefault="00C20C89" w:rsidP="003809FE">
            <w:pPr>
              <w:rPr>
                <w:color w:val="0070C0"/>
              </w:rPr>
            </w:pPr>
          </w:p>
        </w:tc>
      </w:tr>
    </w:tbl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Приложение № 2 к Техническому заданию</w:t>
      </w:r>
    </w:p>
    <w:p w:rsidR="00C20C89" w:rsidRPr="00257C74" w:rsidRDefault="00C20C89" w:rsidP="00C20C89">
      <w:pPr>
        <w:spacing w:line="360" w:lineRule="auto"/>
        <w:ind w:left="-567"/>
        <w:jc w:val="right"/>
        <w:rPr>
          <w:b/>
          <w:bCs/>
          <w:iCs/>
        </w:rPr>
      </w:pPr>
    </w:p>
    <w:p w:rsidR="00C20C89" w:rsidRPr="00257C74" w:rsidRDefault="00C20C89" w:rsidP="00C20C89">
      <w:pPr>
        <w:spacing w:line="360" w:lineRule="auto"/>
        <w:ind w:left="-567"/>
        <w:jc w:val="right"/>
        <w:rPr>
          <w:b/>
          <w:bCs/>
          <w:iCs/>
        </w:rPr>
      </w:pPr>
      <w:r w:rsidRPr="00257C74">
        <w:rPr>
          <w:b/>
          <w:bCs/>
          <w:iCs/>
        </w:rPr>
        <w:t>Формат имиджевых наклеек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C20C89" w:rsidRPr="00257C74" w:rsidTr="003809FE">
        <w:tc>
          <w:tcPr>
            <w:tcW w:w="6062" w:type="dxa"/>
            <w:shd w:val="clear" w:color="auto" w:fill="auto"/>
          </w:tcPr>
          <w:p w:rsidR="00C20C89" w:rsidRPr="00257C74" w:rsidRDefault="00C20C89" w:rsidP="003809FE">
            <w:pPr>
              <w:spacing w:line="360" w:lineRule="auto"/>
              <w:ind w:left="-567"/>
              <w:jc w:val="right"/>
              <w:rPr>
                <w:b/>
              </w:rPr>
            </w:pPr>
            <w:r w:rsidRPr="00257C74">
              <w:rPr>
                <w:b/>
              </w:rPr>
              <w:t>Макет наклейки тип.1</w:t>
            </w: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  <w:r w:rsidRPr="00257C74">
              <w:t>Для наклейки на ТШ, КБ/КЯ, АК, слаботочный щит</w:t>
            </w: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</w:tc>
        <w:tc>
          <w:tcPr>
            <w:tcW w:w="3685" w:type="dxa"/>
            <w:shd w:val="clear" w:color="auto" w:fill="auto"/>
          </w:tcPr>
          <w:p w:rsidR="00C20C89" w:rsidRPr="00257C74" w:rsidRDefault="00C20C89" w:rsidP="003809FE">
            <w:pPr>
              <w:spacing w:line="360" w:lineRule="auto"/>
              <w:ind w:left="-567"/>
              <w:jc w:val="right"/>
              <w:rPr>
                <w:b/>
              </w:rPr>
            </w:pPr>
            <w:r w:rsidRPr="00257C74">
              <w:rPr>
                <w:b/>
              </w:rPr>
              <w:t>Макет наклейки тип.2</w:t>
            </w: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  <w:r w:rsidRPr="00257C74">
              <w:t>Для наклейки на трубостойку</w:t>
            </w: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</w:tc>
      </w:tr>
      <w:tr w:rsidR="00C20C89" w:rsidRPr="00257C74" w:rsidTr="003809FE">
        <w:trPr>
          <w:trHeight w:val="9186"/>
        </w:trPr>
        <w:tc>
          <w:tcPr>
            <w:tcW w:w="6062" w:type="dxa"/>
            <w:shd w:val="clear" w:color="auto" w:fill="auto"/>
          </w:tcPr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  <w:r w:rsidRPr="00257C74">
              <w:rPr>
                <w:noProof/>
              </w:rPr>
              <w:drawing>
                <wp:inline distT="0" distB="0" distL="0" distR="0" wp14:anchorId="25E9F7A5" wp14:editId="1BCE48CA">
                  <wp:extent cx="3514264" cy="4763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8765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785" cy="4781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shd w:val="clear" w:color="auto" w:fill="auto"/>
          </w:tcPr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</w:p>
          <w:p w:rsidR="00C20C89" w:rsidRPr="00257C74" w:rsidRDefault="00C20C89" w:rsidP="003809FE">
            <w:pPr>
              <w:spacing w:line="360" w:lineRule="auto"/>
              <w:ind w:left="-567"/>
              <w:jc w:val="right"/>
            </w:pPr>
            <w:r w:rsidRPr="00257C74">
              <w:rPr>
                <w:noProof/>
              </w:rPr>
              <w:drawing>
                <wp:inline distT="0" distB="0" distL="0" distR="0" wp14:anchorId="53CB2AAC" wp14:editId="3430F8A7">
                  <wp:extent cx="2044700" cy="481965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45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426" cy="487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Все размеры на чертеже указаны в мм.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 xml:space="preserve">Материал ламинированная самоклеящаяся бумага. 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Макет для печати получить у Заказчика</w:t>
      </w:r>
    </w:p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  <w:rPr>
          <w:b/>
          <w:bCs/>
          <w:iCs/>
        </w:rPr>
      </w:pPr>
      <w:r w:rsidRPr="00257C74">
        <w:rPr>
          <w:b/>
          <w:bCs/>
          <w:iCs/>
        </w:rPr>
        <w:t>Формат идентификационных кабельных бирок</w:t>
      </w:r>
    </w:p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  <w:rPr>
          <w:b/>
        </w:rPr>
      </w:pPr>
      <w:r w:rsidRPr="00257C74">
        <w:rPr>
          <w:b/>
        </w:rPr>
        <w:t>Макет маркировочной бирки (идентификационной бирки-шильда) тип. 3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 xml:space="preserve">Для маркировки кабелей исключительно внутри помещений. Применяется для кабелей МПК, </w:t>
      </w:r>
      <w:r w:rsidRPr="00257C74">
        <w:rPr>
          <w:lang w:val="en-US"/>
        </w:rPr>
        <w:t>UTP</w:t>
      </w:r>
      <w:r w:rsidRPr="00257C74">
        <w:t xml:space="preserve">, </w:t>
      </w:r>
      <w:r w:rsidRPr="00257C74">
        <w:rPr>
          <w:lang w:val="en-US"/>
        </w:rPr>
        <w:t>RG</w:t>
      </w:r>
      <w:r w:rsidRPr="00257C74">
        <w:t xml:space="preserve">-11, </w:t>
      </w:r>
      <w:r w:rsidRPr="00257C74">
        <w:rPr>
          <w:lang w:val="en-US"/>
        </w:rPr>
        <w:t>RG</w:t>
      </w:r>
      <w:r w:rsidRPr="00257C74">
        <w:t>-6 и кабелей эл. питания (кроме ВОК).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rPr>
          <w:noProof/>
        </w:rPr>
        <w:drawing>
          <wp:inline distT="0" distB="0" distL="0" distR="0" wp14:anchorId="55BFF549" wp14:editId="4031CA76">
            <wp:extent cx="2857500" cy="125923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42345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998" cy="127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C89" w:rsidRPr="00257C74" w:rsidRDefault="00C20C89" w:rsidP="00C20C89">
      <w:pPr>
        <w:spacing w:line="360" w:lineRule="auto"/>
        <w:ind w:left="-567"/>
        <w:jc w:val="right"/>
      </w:pP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Все размеры на чертеже указаны в мм.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Материал ламинированная самоклеящаяся бумага. Цвет: пантон -258С</w:t>
      </w:r>
    </w:p>
    <w:p w:rsidR="00C20C89" w:rsidRPr="00257C74" w:rsidRDefault="00C20C89" w:rsidP="00C20C89">
      <w:pPr>
        <w:spacing w:line="360" w:lineRule="auto"/>
        <w:ind w:left="-567"/>
        <w:jc w:val="right"/>
      </w:pPr>
      <w:r w:rsidRPr="00257C74">
        <w:t>Макет для печати получить у Заказчика</w:t>
      </w:r>
    </w:p>
    <w:p w:rsidR="003D3030" w:rsidRDefault="003D3030">
      <w:bookmarkStart w:id="4" w:name="_GoBack"/>
      <w:bookmarkEnd w:id="4"/>
    </w:p>
    <w:sectPr w:rsidR="003D3030" w:rsidSect="00505155">
      <w:head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493" w:rsidRDefault="00C20C89" w:rsidP="00093CD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34493" w:rsidRDefault="00C20C89" w:rsidP="00CE71F0">
    <w:pPr>
      <w:pStyle w:val="a6"/>
      <w:ind w:hanging="1560"/>
      <w:rPr>
        <w:i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3046331"/>
    <w:multiLevelType w:val="hybridMultilevel"/>
    <w:tmpl w:val="CF1E4BAC"/>
    <w:lvl w:ilvl="0" w:tplc="0CDEF5DE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78C2C5B"/>
    <w:multiLevelType w:val="multilevel"/>
    <w:tmpl w:val="571C24F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7406584F"/>
    <w:multiLevelType w:val="multilevel"/>
    <w:tmpl w:val="579A38E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abstractNum w:abstractNumId="5" w15:restartNumberingAfterBreak="0">
    <w:nsid w:val="74203DC4"/>
    <w:multiLevelType w:val="hybridMultilevel"/>
    <w:tmpl w:val="08FAA9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89"/>
    <w:rsid w:val="003D3030"/>
    <w:rsid w:val="00C2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BE430-0A5E-4384-99F8-946EDEA8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0C89"/>
  </w:style>
  <w:style w:type="paragraph" w:styleId="a4">
    <w:name w:val="Title"/>
    <w:basedOn w:val="a"/>
    <w:link w:val="a5"/>
    <w:uiPriority w:val="99"/>
    <w:qFormat/>
    <w:rsid w:val="00C20C89"/>
    <w:pPr>
      <w:jc w:val="center"/>
    </w:pPr>
    <w:rPr>
      <w:b/>
      <w:bCs/>
      <w:caps/>
      <w:sz w:val="20"/>
      <w:szCs w:val="20"/>
    </w:rPr>
  </w:style>
  <w:style w:type="character" w:customStyle="1" w:styleId="a5">
    <w:name w:val="Название Знак"/>
    <w:basedOn w:val="a0"/>
    <w:link w:val="a4"/>
    <w:uiPriority w:val="99"/>
    <w:rsid w:val="00C20C89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0C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C20C89"/>
    <w:pPr>
      <w:ind w:left="720"/>
      <w:contextualSpacing/>
    </w:pPr>
  </w:style>
  <w:style w:type="character" w:styleId="aa">
    <w:name w:val="Hyperlink"/>
    <w:uiPriority w:val="99"/>
    <w:rsid w:val="00C20C89"/>
    <w:rPr>
      <w:color w:val="0000FF"/>
      <w:u w:val="single"/>
    </w:rPr>
  </w:style>
  <w:style w:type="paragraph" w:styleId="3">
    <w:name w:val="List Bullet 3"/>
    <w:basedOn w:val="a"/>
    <w:uiPriority w:val="99"/>
    <w:rsid w:val="00C20C89"/>
    <w:pPr>
      <w:numPr>
        <w:numId w:val="2"/>
      </w:numPr>
      <w:tabs>
        <w:tab w:val="num" w:pos="926"/>
      </w:tabs>
      <w:ind w:left="926"/>
    </w:pPr>
  </w:style>
  <w:style w:type="character" w:customStyle="1" w:styleId="a9">
    <w:name w:val="Абзац списка Знак"/>
    <w:link w:val="a8"/>
    <w:uiPriority w:val="34"/>
    <w:locked/>
    <w:rsid w:val="00C20C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C20C89"/>
    <w:rPr>
      <w:b/>
      <w:bCs/>
    </w:rPr>
  </w:style>
  <w:style w:type="character" w:customStyle="1" w:styleId="tgc">
    <w:name w:val="_tgc"/>
    <w:basedOn w:val="a0"/>
    <w:rsid w:val="00C20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1978</Words>
  <Characters>11276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Фаррахова Эльвера Римовна</dc:creator>
  <cp:keywords/>
  <dc:description/>
  <cp:lastModifiedBy>Фаррахова Эльвера Римовна</cp:lastModifiedBy>
  <cp:revision>1</cp:revision>
  <dcterms:created xsi:type="dcterms:W3CDTF">2017-03-15T05:53:00Z</dcterms:created>
  <dcterms:modified xsi:type="dcterms:W3CDTF">2017-03-15T05:54:00Z</dcterms:modified>
</cp:coreProperties>
</file>